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76"/>
        <w:jc w:val="right"/>
        <w:rPr/>
      </w:pPr>
      <w:r>
        <w:rPr>
          <w:rFonts w:eastAsia="Tahoma" w:cs="Arial" w:ascii="Calibri" w:hAnsi="Calibri"/>
          <w:b w:val="false"/>
          <w:bCs w:val="false"/>
          <w:color w:val="000000"/>
          <w:sz w:val="22"/>
          <w:szCs w:val="22"/>
        </w:rPr>
        <w:t>Data………………………..</w:t>
      </w:r>
    </w:p>
    <w:p>
      <w:pPr>
        <w:pStyle w:val="Podtytu"/>
        <w:jc w:val="left"/>
        <w:rPr/>
      </w:pPr>
      <w:r>
        <w:rPr>
          <w:rFonts w:eastAsia="Tahoma" w:cs="Arial"/>
          <w:b/>
          <w:color w:val="000000"/>
        </w:rPr>
        <w:t xml:space="preserve">LIST OTWARTY - PETYCJA </w:t>
      </w:r>
      <w:r>
        <w:rPr>
          <w:rFonts w:cs="Arial"/>
          <w:b/>
          <w:color w:val="000000"/>
        </w:rPr>
        <w:t xml:space="preserve">w interesie publicznym   </w:t>
      </w:r>
    </w:p>
    <w:p>
      <w:pPr>
        <w:pStyle w:val="Tretekstu"/>
        <w:spacing w:lineRule="auto" w:line="276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"/>
        </w:rPr>
      </w:pPr>
      <w:r>
        <w:rPr>
          <w:rFonts w:ascii="Calibri" w:hAnsi="Calibri"/>
          <w:b/>
          <w:bCs/>
          <w:color w:val="000000"/>
          <w:sz w:val="22"/>
          <w:szCs w:val="22"/>
          <w:lang w:val="pl"/>
        </w:rPr>
        <w:t>Marszałek Województwa Małopolskiego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"/>
        </w:rPr>
      </w:pPr>
      <w:r>
        <w:rPr>
          <w:rFonts w:ascii="Calibri" w:hAnsi="Calibri"/>
          <w:b/>
          <w:bCs/>
          <w:color w:val="000000"/>
          <w:sz w:val="22"/>
          <w:szCs w:val="22"/>
          <w:lang w:val="pl"/>
        </w:rPr>
        <w:t xml:space="preserve">Sz.P. Witold Kozłowski  </w:t>
        <w:br/>
        <w:t xml:space="preserve">sekretariat.kz@umwm.malopolska.pl 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"/>
        </w:rPr>
      </w:pPr>
      <w:r>
        <w:rPr>
          <w:rFonts w:ascii="Calibri" w:hAnsi="Calibri"/>
          <w:b/>
          <w:bCs/>
          <w:color w:val="000000"/>
          <w:sz w:val="22"/>
          <w:szCs w:val="22"/>
          <w:lang w:val="pl"/>
        </w:rPr>
        <w:t>ul. Racławicka 56,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"/>
        </w:rPr>
      </w:pPr>
      <w:r>
        <w:rPr>
          <w:rFonts w:ascii="Calibri" w:hAnsi="Calibri"/>
          <w:b/>
          <w:bCs/>
          <w:color w:val="000000"/>
          <w:sz w:val="22"/>
          <w:szCs w:val="22"/>
          <w:lang w:val="pl"/>
        </w:rPr>
        <w:t xml:space="preserve">30-017 Kraków 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i/>
          <w:i/>
          <w:sz w:val="22"/>
          <w:szCs w:val="22"/>
          <w:lang w:val="pl"/>
        </w:rPr>
      </w:pPr>
      <w:r>
        <w:rPr>
          <w:rFonts w:ascii="Calibri" w:hAnsi="Calibri"/>
          <w:i/>
          <w:sz w:val="22"/>
          <w:szCs w:val="22"/>
          <w:lang w:val="pl"/>
        </w:rPr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b/>
          <w:i w:val="false"/>
          <w:iCs w:val="false"/>
          <w:color w:val="000000"/>
          <w:sz w:val="22"/>
          <w:szCs w:val="22"/>
        </w:rPr>
        <w:t>Dotyczy: zagrożenia ze strony nowego GMO czyli NGT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>Szanown</w:t>
      </w:r>
      <w:r>
        <w:rPr>
          <w:rStyle w:val="Wyrnienie"/>
          <w:rFonts w:eastAsia="Times New Roman" w:cs="Times New Roman" w:ascii="Calibri" w:hAnsi="Calibri"/>
          <w:i w:val="false"/>
          <w:iCs w:val="false"/>
          <w:color w:val="000000"/>
          <w:sz w:val="22"/>
          <w:szCs w:val="22"/>
          <w:lang w:val="pl-PL" w:eastAsia="zh-CN" w:bidi="ar-SA"/>
        </w:rPr>
        <w:t>y</w:t>
      </w: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 xml:space="preserve"> Pa</w:t>
      </w:r>
      <w:r>
        <w:rPr>
          <w:rStyle w:val="Wyrnienie"/>
          <w:rFonts w:eastAsia="Times New Roman" w:cs="Times New Roman" w:ascii="Calibri" w:hAnsi="Calibri"/>
          <w:i w:val="false"/>
          <w:iCs w:val="false"/>
          <w:color w:val="000000"/>
          <w:sz w:val="22"/>
          <w:szCs w:val="22"/>
          <w:lang w:val="pl-PL" w:eastAsia="zh-CN" w:bidi="ar-SA"/>
        </w:rPr>
        <w:t>nie Marszałku</w:t>
      </w: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 xml:space="preserve">, 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>W roku 2004 Sejmik Waszego województwa zadeklarował się jako Strefa Wolna od GMO.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>Szanując Wasze stanowisko i stanowiska innych Sejmików Rząd RP przyjął w 2006 roku stanowisko, które obowiązuje do dzisiaj, że terytorium Polski ma być wolne od upraw GMO. Stanowisko to realizują odpowiednie przepisy ustawy o GMM i GMO(*). Do dzisiaj, pomimo intensywnego lobbingu przemysłu GMO w Komisji Europejskiej w Brukseli, mniej niż 2% europejskich gruntów rolnych uprawia rośliny modyfikowane genetycznie.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Jednak genetyczny i chemiczny agrobiznes nie znają końca swojej determinacji. Ich biopiractwo oryginalnych genomów nasion, a następnie patentowanie (czyli prywatyzacja) żywych organizmów – po wstawieniu lub zmienieniu tylko jednego lub kilku genów w genomach zawierających kilkanaście tysięcy do kilkudziesięciu tysięcy genów utworzonych przez Naturę i pokolenia rolników - to nowa próba obalenia oporu społecznego wobec inżynierii genetycznej.</w:t>
        <w:br/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Nowe oszustwo nosi nazwę New Genomic Techniques (NGT – nowe techniki genomowe), a obecny proces legislacyjny, zainicjowany przez Komisję Europejską ma dać prawo do stosowania tych technik.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NGT to nowa nazwa dla współczesnych technik tworzenia GMO, której wprowadzenie i stosowanie służy między innymi do oszukania konsumentów, rolników i polityków, na drodze wprowadzania w błąd opinii społecznej m. in. poprzez rozpowszechnianie deklaracji o bezpieczeństwie czy precyzji tych technologii.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OSTRZEŻENIE: w NGT nie ma nic, co byłoby korzystne dla środowiska lub jakości żywności. Wręcz przeciwnie, jest to dalsze majstrowanie przy genetyce życia, którego jedynym celem jest przeniesienie żywych organizmów z tradycyjnych praktyk krzyżowania do opatentowanej, tworzonej w laboratoriach żywności przemysłowej. Żywność, którą można manipulować, aby ostatecznie zastąpić istniejące tradycje rolnicze oparte na glebie, praktykowane przez miliony rolników na całym świecie, i zdobyć jak największy udział w uprawach i rynku żywności.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Nowe przepisy dotyczące GMO były ostatnio przedmiotem debaty w Parlamencie Europejskim i będą analizowane przez Radę Ministrów UE. Włochy, Austria i Holandia są zdecydowanie przeciwne, ale Polska jeszcze nie podjęła decyzji.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/>
        <w:t xml:space="preserve">Jeśli ta agenda UE zostanie przyjęta, nie będzie żadnych mechanizmów pozwalających konwencjonalnej, nieekologicznej żywności pozostać "wolną od GMO". Zarówno rolnicy, jak i konsumenci zostaną pozbawieni prawa do suwerenności żywnościowej; nie będzie żadnych zasad wykrywania ani metod monitorowania statusu upraw.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UWAGA!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Szanowni Państwo,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Nadszedł moment, aby zażądać od Premiera i Ministra Rolnictwa i Ministra Środowiska RP, by nigdy nie dopuścili do wejścia w życie NGT w Polsce i całej UE. 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</w:t>
      </w:r>
      <w:r>
        <w:rPr>
          <w:rFonts w:ascii="Calibri" w:hAnsi="Calibri"/>
          <w:color w:val="000000"/>
          <w:sz w:val="22"/>
          <w:szCs w:val="22"/>
        </w:rPr>
        <w:t xml:space="preserve">Jeśli zgadzacie się Państwo z naszym stanowiskiem i chcecie ochronić swoje społeczności przed ogromnym zagrożeniem ze strony NGT - nowego GMO (**) - prosimy o wystosowanie do odpowiednich władz listów domagając się natychmiastowego podjęcia i przedstawienia publicznie przez rząd RP negatywnego stanowiska w sprawie zaproponowania przez Komisję Europejską przyjęcia nowego rozporządzenia Parlamentu Europejskiego i Rady w zakresie nowych technik genomowych (NGT) w dokumencie pt. </w:t>
      </w:r>
      <w:r>
        <w:rPr>
          <w:rFonts w:ascii="Calibri" w:hAnsi="Calibri"/>
          <w:i/>
          <w:color w:val="000000"/>
          <w:sz w:val="22"/>
          <w:szCs w:val="22"/>
          <w:lang w:val="en-US"/>
        </w:rPr>
        <w:t>Proposal for a REGULATION OF THE EUROPEAN PARLIAMENT AND OF THE COUNCIL on plants obtained by certain new genomic techniques and their food and feed, and amending Regulation (EU) 2017/625</w:t>
      </w:r>
      <w:r>
        <w:rPr>
          <w:rFonts w:ascii="Calibri" w:hAnsi="Calibri"/>
          <w:color w:val="000000"/>
          <w:sz w:val="22"/>
          <w:szCs w:val="22"/>
          <w:lang w:val="en-US"/>
        </w:rPr>
        <w:t>, opublikowanym w raporcie Komisji Europejskiej z 5.07.2023 (***).</w:t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 xml:space="preserve">    </w:t>
      </w:r>
      <w:r>
        <w:rPr>
          <w:rFonts w:ascii="Calibri" w:hAnsi="Calibri"/>
          <w:color w:val="000000"/>
          <w:sz w:val="22"/>
          <w:szCs w:val="22"/>
        </w:rPr>
        <w:t>Nie potrzebujemy laboratoryjnych i innych sztucznych nasion, roślin i zwierząt. Mamy wspaniałą polską, tradycyjną żywność i nasze nasiona. A więc należy się domagać jasnego, jednoznacznego i zdecydowanego stanowiska rządu RP, które musi zawierać przynajmniej następujące postulaty i zasady, które powinno uwzględniać prawo unijne: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Dotychczasowe przepisy dotyczące ograniczeń użycia GMO  w rolnictwie i żywności muszą być stosowane do wszystkich NGT i produktów NGT.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Żaden proces produkcyjny stosujący NGT i żaden produkt NGT, lub wytworzony przy użyciu NGT  nie może być wyłączony spod stosowania przepisów dotyczących GMO.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stosunku do produktów NGT winien być wprowadzony obowiązek stosowania odpowiednich metod i procedur pozwalających na ich wykrywanie,  analizę ilościową i monitorowanie na każdym etapie produkcji i dystrytbucji.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Państwa członkowskie UE muszą mieć prawo zakazu stosowania jakiegokolwiek produktu NGT, bez uprzedniej zgody organów Unii Europejskiej.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Takie jednoznaczne stanowisko (z powyższymi postulatami i zasadami) rząd RP powinien natychmiast opublikować i podać do informacji wyborców (też mediów głównego nurtu) oraz wszystkich państw UE, Komisji Europejskiej i Parlamentu UE.</w:t>
      </w:r>
    </w:p>
    <w:p>
      <w:pPr>
        <w:pStyle w:val="Normal"/>
        <w:spacing w:lineRule="auto" w:line="276"/>
        <w:ind w:left="0" w:right="0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W ślad za tym należy natychmiast podjąć z inicjatywy rządu, przy szerokim udziale konsultacji społecznych,  prace legislacyjne w kierunku stworzenia i zmiany zapisów ustawowych sankcjonujących powyższe postulaty. W tym celu niezbędne jest dokonanie odpowiednich nowelizacji nie tylko ustawy o mikroorganizmach genetycznie zmodyfikowanych lecz również ustawy o nasiennictwie i ustawy o paszach.  </w:t>
      </w:r>
    </w:p>
    <w:p>
      <w:pPr>
        <w:pStyle w:val="Normal"/>
        <w:spacing w:lineRule="auto" w:line="276"/>
        <w:ind w:left="0" w:right="0" w:firstLine="70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Zaniechanie rządu w tym zakresie, bez względu na opcję polityczną która będzie sprawowała władzę, doprowadzi do nieodwracalnych i szkodliwych skutków dla Narodu i gospodarki polskiej.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Dziś trzeba bronić  Polski, a zwłaszcza interesów i podstaw przetrwania Narodu polskiego nie tylko od strony militarnej. Głównie i na co dzień trzeba bronić Polski, polskich rolników i konsumentów przed niebezpieczną żywnością GMO i NGT oraz dalszym uzależnieniem od korporacji i ponadnarodowych instytucji.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Oczekujemy od Państwa natychmiastowych działań i odpowiedzi na nasz otwarty list-petycję.</w:t>
      </w:r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ZAŁĄCZENIU ULOTKA INFORMACYJNA O ZAGROŻENIACH NGT.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Więcej materiałów: </w:t>
      </w:r>
    </w:p>
    <w:p>
      <w:pPr>
        <w:pStyle w:val="Normal"/>
        <w:spacing w:lineRule="auto" w:line="276"/>
        <w:rPr/>
      </w:pPr>
      <w:hyperlink r:id="rId2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https://doprawdy.info/2023/08/warsztaty-i-narada-pt-uwaga-nowe-gmo-koniem-trojanskim/</w:t>
        </w:r>
      </w:hyperlink>
    </w:p>
    <w:p>
      <w:pPr>
        <w:pStyle w:val="Normal"/>
        <w:spacing w:lineRule="auto" w:line="276"/>
        <w:rPr/>
      </w:pPr>
      <w:hyperlink r:id="rId3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https://instytutsprawobywatelskich.pl/nowe-gmo-watpliwosci-i-pytania-ktore-trzeba-zadawac/</w:t>
        </w:r>
      </w:hyperlink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 w:before="240" w:after="0"/>
        <w:rPr/>
      </w:pPr>
      <w:r>
        <w:rPr>
          <w:rStyle w:val="Znakiprzypiswdolnych"/>
          <w:rFonts w:ascii="Calibri" w:hAnsi="Calibri"/>
          <w:color w:val="000000"/>
          <w:sz w:val="32"/>
          <w:szCs w:val="32"/>
          <w:shd w:fill="FFFFFF" w:val="clear"/>
        </w:rPr>
        <w:t xml:space="preserve">Z poważaniem, </w:t>
      </w:r>
    </w:p>
    <w:p>
      <w:pPr>
        <w:pStyle w:val="Normal"/>
        <w:spacing w:lineRule="auto" w:line="276"/>
        <w:ind w:left="426" w:right="0" w:hanging="426"/>
        <w:rPr>
          <w:rStyle w:val="Domylnaczcionkaakapitu1"/>
          <w:rFonts w:ascii="Calibri" w:hAnsi="Calibri" w:cs="Times New Roman"/>
          <w:color w:val="000000"/>
          <w:sz w:val="22"/>
          <w:szCs w:val="22"/>
        </w:rPr>
      </w:pPr>
      <w:r>
        <w:rPr/>
      </w:r>
    </w:p>
    <w:p>
      <w:pPr>
        <w:pStyle w:val="Normal"/>
        <w:spacing w:lineRule="auto" w:line="276"/>
        <w:rPr>
          <w:rFonts w:ascii="Calibri" w:hAnsi="Calibri" w:cs="Times New Roman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</w:r>
    </w:p>
    <w:p>
      <w:pPr>
        <w:pStyle w:val="Normal"/>
        <w:spacing w:lineRule="auto" w:line="276" w:before="240" w:after="0"/>
        <w:rPr>
          <w:rFonts w:ascii="Calibri" w:hAnsi="Calibri" w:cs="Tahoma"/>
          <w:b/>
          <w:b/>
          <w:bCs/>
          <w:color w:val="000000"/>
          <w:sz w:val="22"/>
          <w:szCs w:val="22"/>
          <w:u w:val="single"/>
        </w:rPr>
      </w:pPr>
      <w:r>
        <w:rPr>
          <w:rFonts w:cs="Tahoma" w:ascii="Calibri" w:hAnsi="Calibri"/>
          <w:b/>
          <w:bCs/>
          <w:color w:val="000000"/>
          <w:sz w:val="22"/>
          <w:szCs w:val="22"/>
          <w:u w:val="single"/>
        </w:rPr>
        <w:t>Adresy do Korespondencji:</w:t>
      </w:r>
    </w:p>
    <w:p>
      <w:pPr>
        <w:pStyle w:val="Normal"/>
        <w:spacing w:lineRule="auto" w:line="276"/>
        <w:rPr>
          <w:rStyle w:val="Czeinternetowe"/>
          <w:rFonts w:ascii="Calibri" w:hAnsi="Calibri"/>
          <w:color w:val="000000"/>
          <w:sz w:val="22"/>
          <w:szCs w:val="22"/>
          <w:highlight w:val="white"/>
          <w:u w:val="none"/>
          <w:lang w:val="en-US"/>
        </w:rPr>
      </w:pPr>
      <w:hyperlink r:id="rId4">
        <w:r>
          <w:rPr/>
        </w:r>
      </w:hyperlink>
    </w:p>
    <w:p>
      <w:pPr>
        <w:pStyle w:val="Tretekstu"/>
        <w:spacing w:lineRule="auto" w:line="276" w:before="240" w:after="120"/>
        <w:rPr/>
      </w:pPr>
      <w:r>
        <w:rPr>
          <w:rStyle w:val="Czeinternetowe"/>
          <w:rFonts w:ascii="Calibri" w:hAnsi="Calibri"/>
          <w:b/>
          <w:bCs/>
          <w:color w:val="000000"/>
          <w:sz w:val="22"/>
          <w:szCs w:val="22"/>
          <w:highlight w:val="white"/>
          <w:u w:val="none"/>
        </w:rPr>
        <w:t>Podmioty wnoszące niniejszy list-petycję zgadzają się na publiczne udostępnienie treści tego listu-petycji oraz danych tele-adresowych i dotyczących sygnatariuszy.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(*) GMO – Genetycznie Modyfikowane Organizmy  GMM – Genetycznie Modyfikowane Mikroorganizmy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(**) Należy pamiętać, że wyrok Trybunału Sprawiedliwości Unii Europejskiej z 25 lipca 2018 (sprawa C-528/16) zdecydował, że organizmy tworzone nowymi technikami mutagenezy podlegają w pełni przepisom unijnego prawa o GMO. Stało się tak na skutek uzasadnionych obaw o wymknięcie się produktów NGT spod kontroli prawnej właściwej dla ryzykownych eksperymentów i produktów sztucznej modyfikacji genetycznej.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Znamiennym jest, że polski rząd i parlament, mimo upływu ponad czterech lat i wcześniejszych apeli Koalicji Polska Wolna od GMO ignoruje to orzeczenie i blokuje wprowadzenie do obowiązującego ustawodawstwa krajowego i do polskiego porządku prawnego przepisów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nakazujących stosowanie regulacji przewidzianych dla GMO w stosunku do NGT.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/>
      </w:pPr>
      <w:r>
        <w:rPr>
          <w:rFonts w:ascii="Calibri" w:hAnsi="Calibri"/>
          <w:color w:val="000000"/>
          <w:sz w:val="22"/>
          <w:szCs w:val="22"/>
          <w:lang w:val="en-US"/>
        </w:rPr>
        <w:t xml:space="preserve">(***) </w:t>
      </w:r>
      <w:r>
        <w:rPr>
          <w:rFonts w:ascii="Calibri" w:hAnsi="Calibri"/>
          <w:i/>
          <w:color w:val="000000"/>
          <w:sz w:val="22"/>
          <w:szCs w:val="22"/>
          <w:lang w:val="en-US"/>
        </w:rPr>
        <w:t>Proposal for a REGULATION OF THE EUROPEAN PARLIAMENT AND OF THE COUNCIL on plants obtained by certain new genomic techniques and their food and feed, and amending Regulation (EU) 2017/625</w:t>
      </w:r>
      <w:r>
        <w:rPr>
          <w:rFonts w:ascii="Calibri" w:hAnsi="Calibri"/>
          <w:color w:val="000000"/>
          <w:sz w:val="22"/>
          <w:szCs w:val="22"/>
          <w:lang w:val="en-US"/>
        </w:rPr>
        <w:t>, European Commission, Brussels, 5.7.2023 SWD(2023) 412 final (</w:t>
      </w:r>
      <w:hyperlink r:id="rId5">
        <w:r>
          <w:rPr>
            <w:rStyle w:val="Czeinternetowe"/>
            <w:rFonts w:ascii="Calibri" w:hAnsi="Calibri"/>
            <w:color w:val="000000"/>
            <w:sz w:val="22"/>
            <w:szCs w:val="22"/>
            <w:lang w:val="en-US"/>
          </w:rPr>
          <w:t>https://food.ec.europa.eu/system/files/2023-07/gmo_biotech_ngt_ia_report.pdf</w:t>
        </w:r>
      </w:hyperlink>
      <w:r>
        <w:rPr>
          <w:rFonts w:ascii="Calibri" w:hAnsi="Calibri"/>
          <w:color w:val="000000"/>
          <w:sz w:val="22"/>
          <w:szCs w:val="22"/>
          <w:lang w:val="en-US"/>
        </w:rPr>
        <w:t xml:space="preserve"> ),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również: Pakiet ds. żywności i bioróżnorodności – nowe propozycje legislacyjne Komisji</w:t>
      </w:r>
    </w:p>
    <w:p>
      <w:pPr>
        <w:pStyle w:val="Normal"/>
        <w:spacing w:lineRule="auto" w:line="276" w:before="0" w:after="120"/>
        <w:rPr/>
      </w:pPr>
      <w:r>
        <w:rPr>
          <w:rFonts w:ascii="Calibri" w:hAnsi="Calibri"/>
          <w:color w:val="000000"/>
          <w:sz w:val="22"/>
          <w:szCs w:val="22"/>
        </w:rPr>
        <w:t>Europejskiej (</w:t>
      </w:r>
      <w:hyperlink r:id="rId6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https://www.gov.pl/web/rolnictwo/pakiet-ds-zywnosci-i-bioroznorodnosci--nowe-propozycje-legislacyjne-komisji-europejskiej</w:t>
        </w:r>
      </w:hyperlink>
      <w:r>
        <w:rPr>
          <w:rFonts w:ascii="Calibri" w:hAnsi="Calibri"/>
          <w:color w:val="000000"/>
          <w:sz w:val="22"/>
          <w:szCs w:val="22"/>
        </w:rPr>
        <w:t xml:space="preserve"> ), </w:t>
      </w:r>
      <w:hyperlink r:id="rId7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https://ec.europa.eu/commission/presscorner/detail/en/ip_23_3565</w:t>
        </w:r>
      </w:hyperlink>
    </w:p>
    <w:p>
      <w:pPr>
        <w:pStyle w:val="Normal"/>
        <w:spacing w:lineRule="auto" w:line="276" w:before="0" w:after="120"/>
        <w:rPr/>
      </w:pPr>
      <w:r>
        <w:rPr>
          <w:rFonts w:ascii="Calibri" w:hAnsi="Calibri"/>
          <w:color w:val="000000"/>
          <w:sz w:val="22"/>
          <w:szCs w:val="22"/>
        </w:rPr>
        <w:t>Istnieją niezaprzeczalne dowody naukowe, świadczące, wbrew opinii lansowanej przez korporacje biotechnologiczne, że produkty NGT nie są bezpieczne i stanowią zagrożenie dla zdrowia i środowiska zarówno podczas ich wytwarzania jak i zastosowania, szczególnie w warunkach uwolnienia do środowiska, a więc obecnie w uprawach roślin.</w:t>
      </w:r>
    </w:p>
    <w:sectPr>
      <w:headerReference w:type="default" r:id="rId8"/>
      <w:type w:val="nextPage"/>
      <w:pgSz w:w="11906" w:h="16838"/>
      <w:pgMar w:left="1417" w:right="926" w:header="1417" w:top="1976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auto"/>
    <w:pitch w:val="default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Calibri"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Bookman Old Style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</w:lvl>
    <w:lvl w:ilvl="2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>
      <w:start w:val="1"/>
      <w:numFmt w:val="decimal"/>
      <w:lvlText w:val="%5."/>
      <w:lvlJc w:val="left"/>
      <w:pPr>
        <w:tabs>
          <w:tab w:val="num" w:pos="2313"/>
        </w:tabs>
        <w:ind w:left="2313" w:hanging="360"/>
      </w:pPr>
    </w:lvl>
    <w:lvl w:ilvl="5">
      <w:start w:val="1"/>
      <w:numFmt w:val="decimal"/>
      <w:lvlText w:val="%6."/>
      <w:lvlJc w:val="left"/>
      <w:pPr>
        <w:tabs>
          <w:tab w:val="num" w:pos="2673"/>
        </w:tabs>
        <w:ind w:left="2673" w:hanging="360"/>
      </w:pPr>
    </w:lvl>
    <w:lvl w:ilvl="6">
      <w:start w:val="1"/>
      <w:numFmt w:val="decimal"/>
      <w:lvlText w:val="%7."/>
      <w:lvlJc w:val="left"/>
      <w:pPr>
        <w:tabs>
          <w:tab w:val="num" w:pos="3033"/>
        </w:tabs>
        <w:ind w:left="3033" w:hanging="360"/>
      </w:pPr>
    </w:lvl>
    <w:lvl w:ilvl="7">
      <w:start w:val="1"/>
      <w:numFmt w:val="decimal"/>
      <w:lvlText w:val="%8."/>
      <w:lvlJc w:val="left"/>
      <w:pPr>
        <w:tabs>
          <w:tab w:val="num" w:pos="3393"/>
        </w:tabs>
        <w:ind w:left="3393" w:hanging="360"/>
      </w:pPr>
    </w:lvl>
    <w:lvl w:ilvl="8">
      <w:start w:val="1"/>
      <w:numFmt w:val="decimal"/>
      <w:lvlText w:val="%9."/>
      <w:lvlJc w:val="left"/>
      <w:pPr>
        <w:tabs>
          <w:tab w:val="num" w:pos="3753"/>
        </w:tabs>
        <w:ind w:left="3753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fals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next w:val="Tretekstu"/>
    <w:qFormat/>
    <w:pPr>
      <w:widowControl w:val="false"/>
      <w:numPr>
        <w:ilvl w:val="1"/>
        <w:numId w:val="1"/>
      </w:numPr>
      <w:spacing w:before="200" w:after="120"/>
      <w:outlineLvl w:val="1"/>
    </w:pPr>
    <w:rPr>
      <w:rFonts w:ascii="Liberation Serif;Times New Roman" w:hAnsi="Liberation Serif;Times New Roman" w:eastAsia="NSimSun" w:cs="Arial"/>
      <w:b/>
      <w:bCs/>
      <w:color w:val="auto"/>
      <w:kern w:val="0"/>
      <w:sz w:val="36"/>
      <w:szCs w:val="36"/>
      <w:lang w:val="pl-PL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character" w:styleId="Domylnaczcionkaakapitu8">
    <w:name w:val="Domyślna czcionka akapitu8"/>
    <w:qFormat/>
    <w:rPr/>
  </w:style>
  <w:style w:type="character" w:styleId="Domylnaczcionkaakapitu7">
    <w:name w:val="Domyślna czcionka akapitu7"/>
    <w:qFormat/>
    <w:rPr/>
  </w:style>
  <w:style w:type="character" w:styleId="Domylnaczcionkaakapitu6">
    <w:name w:val="Domyślna czcionka akapitu6"/>
    <w:qFormat/>
    <w:rPr/>
  </w:style>
  <w:style w:type="character" w:styleId="WW8Num2z0">
    <w:name w:val="WW8Num2z0"/>
    <w:qFormat/>
    <w:rPr>
      <w:b/>
      <w:bCs/>
      <w:color w:val="000000"/>
    </w:rPr>
  </w:style>
  <w:style w:type="character" w:styleId="WW8Num3z0">
    <w:name w:val="WW8Num3z0"/>
    <w:qFormat/>
    <w:rPr/>
  </w:style>
  <w:style w:type="character" w:styleId="Domylnaczcionkaakapitu5">
    <w:name w:val="Domyślna czcionka akapitu5"/>
    <w:qFormat/>
    <w:rPr/>
  </w:style>
  <w:style w:type="character" w:styleId="WW8Num4z0">
    <w:name w:val="WW8Num4z0"/>
    <w:qFormat/>
    <w:rPr>
      <w:b/>
      <w:bCs/>
      <w:color w:val="000000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Domylnaczcionkaakapitu4">
    <w:name w:val="Domyślna czcionka akapitu4"/>
    <w:qFormat/>
    <w:rPr/>
  </w:style>
  <w:style w:type="character" w:styleId="Domylnaczcionkaakapitu3">
    <w:name w:val="Domyślna czcionka akapitu3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omylnaczcionkaakapitu2">
    <w:name w:val="Domyślna czcionka akapitu2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Wyrnienie">
    <w:name w:val="Wyróżnienie"/>
    <w:qFormat/>
    <w:rPr>
      <w:i/>
      <w:iCs/>
    </w:rPr>
  </w:style>
  <w:style w:type="character" w:styleId="FootnoteCharacters">
    <w:name w:val="Footnote Characters"/>
    <w:qFormat/>
    <w:rPr>
      <w:vertAlign w:val="superscript"/>
    </w:rPr>
  </w:style>
  <w:style w:type="character" w:styleId="Startocchapter">
    <w:name w:val="star-toc-chapter"/>
    <w:basedOn w:val="Domylnaczcionkaakapitu1"/>
    <w:qFormat/>
    <w:rPr/>
  </w:style>
  <w:style w:type="character" w:styleId="Startocauthor">
    <w:name w:val="star-toc-author"/>
    <w:basedOn w:val="Domylnaczcionkaakapitu1"/>
    <w:qFormat/>
    <w:rPr/>
  </w:style>
  <w:style w:type="character" w:styleId="Authorroledesc">
    <w:name w:val="authorroledesc"/>
    <w:basedOn w:val="Domylnaczcionkaakapitu1"/>
    <w:qFormat/>
    <w:rPr/>
  </w:style>
  <w:style w:type="character" w:styleId="Publicationdate">
    <w:name w:val="publicationdate"/>
    <w:basedOn w:val="Domylnaczcionkaakapitu1"/>
    <w:qFormat/>
    <w:rPr/>
  </w:style>
  <w:style w:type="character" w:styleId="Availability">
    <w:name w:val="availability"/>
    <w:basedOn w:val="Domylnaczcionkaakapitu1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Mocnewyrnione">
    <w:name w:val="Mocne wyróżnione"/>
    <w:qFormat/>
    <w:rPr>
      <w:b/>
      <w:bCs/>
    </w:rPr>
  </w:style>
  <w:style w:type="character" w:styleId="Odwoanieprzypisudolnego1">
    <w:name w:val="Odwołanie przypisu dolnego1"/>
    <w:qFormat/>
    <w:rPr>
      <w:vertAlign w:val="superscript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WWZnakiprzypiswkocowych">
    <w:name w:val="WW-Znaki przypisów końcowych"/>
    <w:qFormat/>
    <w:rPr/>
  </w:style>
  <w:style w:type="character" w:styleId="Odwiedzoneczeinternetowe">
    <w:name w:val="Odwiedzone łącze internetowe"/>
    <w:rPr>
      <w:color w:val="800000"/>
      <w:u w:val="single"/>
      <w:lang w:val="zxx" w:bidi="zxx"/>
    </w:rPr>
  </w:style>
  <w:style w:type="character" w:styleId="Odwoanieprzypisudolnego2">
    <w:name w:val="Odwołanie przypisu dolnego2"/>
    <w:qFormat/>
    <w:rPr>
      <w:vertAlign w:val="superscript"/>
    </w:rPr>
  </w:style>
  <w:style w:type="character" w:styleId="Odwoanieprzypisukocowego1">
    <w:name w:val="Odwołanie przypisu końcowego1"/>
    <w:qFormat/>
    <w:rPr>
      <w:vertAlign w:val="superscript"/>
    </w:rPr>
  </w:style>
  <w:style w:type="character" w:styleId="Odwoanieprzypisudolnego3">
    <w:name w:val="Odwołanie przypisu dolnego3"/>
    <w:qFormat/>
    <w:rPr>
      <w:vertAlign w:val="superscript"/>
    </w:rPr>
  </w:style>
  <w:style w:type="character" w:styleId="Odwoanieprzypisukocowego2">
    <w:name w:val="Odwołanie przypisu końcowego2"/>
    <w:qFormat/>
    <w:rPr>
      <w:vertAlign w:val="superscript"/>
    </w:rPr>
  </w:style>
  <w:style w:type="character" w:styleId="Odwoanieprzypisudolnego4">
    <w:name w:val="Odwołanie przypisu dolnego4"/>
    <w:qFormat/>
    <w:rPr>
      <w:vertAlign w:val="superscript"/>
    </w:rPr>
  </w:style>
  <w:style w:type="character" w:styleId="Odwoanieprzypisukocowego3">
    <w:name w:val="Odwołanie przypisu końcowego3"/>
    <w:qFormat/>
    <w:rPr>
      <w:vertAlign w:val="superscript"/>
    </w:rPr>
  </w:style>
  <w:style w:type="character" w:styleId="Odwoanieprzypisudolnego5">
    <w:name w:val="Odwołanie przypisu dolnego5"/>
    <w:qFormat/>
    <w:rPr>
      <w:vertAlign w:val="superscript"/>
    </w:rPr>
  </w:style>
  <w:style w:type="character" w:styleId="Odwoanieprzypisukocowego4">
    <w:name w:val="Odwołanie przypisu końcowego4"/>
    <w:qFormat/>
    <w:rPr>
      <w:vertAlign w:val="superscript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Mocnewyrnione">
    <w:name w:val="WW-Mocne wyróżnione"/>
    <w:qFormat/>
    <w:rPr>
      <w:b/>
      <w:bCs/>
    </w:rPr>
  </w:style>
  <w:style w:type="character" w:styleId="Znakinumeracji">
    <w:name w:val="Znaki numeracji"/>
    <w:qFormat/>
    <w:rPr/>
  </w:style>
  <w:style w:type="character" w:styleId="ListLabel1">
    <w:name w:val="ListLabel 1"/>
    <w:qFormat/>
    <w:rPr>
      <w:rFonts w:ascii="Calibri" w:hAnsi="Calibri"/>
      <w:color w:val="000000"/>
      <w:sz w:val="22"/>
      <w:szCs w:val="22"/>
    </w:rPr>
  </w:style>
  <w:style w:type="character" w:styleId="ListLabel2">
    <w:name w:val="ListLabel 2"/>
    <w:qFormat/>
    <w:rPr>
      <w:rFonts w:ascii="Calibri" w:hAnsi="Calibri"/>
      <w:color w:val="000000"/>
      <w:sz w:val="22"/>
      <w:szCs w:val="22"/>
      <w:lang w:bidi="hi-IN"/>
    </w:rPr>
  </w:style>
  <w:style w:type="character" w:styleId="ListLabel3">
    <w:name w:val="ListLabel 3"/>
    <w:qFormat/>
    <w:rPr>
      <w:rFonts w:ascii="Calibri" w:hAnsi="Calibri"/>
      <w:color w:val="000000"/>
      <w:sz w:val="22"/>
      <w:szCs w:val="22"/>
      <w:u w:val="none"/>
      <w:shd w:fill="FFFFFF" w:val="clear"/>
      <w:lang w:val="en-US"/>
    </w:rPr>
  </w:style>
  <w:style w:type="character" w:styleId="ListLabel4">
    <w:name w:val="ListLabel 4"/>
    <w:qFormat/>
    <w:rPr>
      <w:rFonts w:ascii="Calibri" w:hAnsi="Calibri"/>
      <w:color w:val="000000"/>
      <w:sz w:val="22"/>
      <w:szCs w:val="22"/>
      <w:lang w:val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bidi="zxx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Nagwek8">
    <w:name w:val="Nagłówek8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7">
    <w:name w:val="Nagłówek7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7">
    <w:name w:val="Legenda7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6">
    <w:name w:val="Nagłówek6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6">
    <w:name w:val="Legenda6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5">
    <w:name w:val="Nagłówek5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5">
    <w:name w:val="Legenda5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4">
    <w:name w:val="Nagłówek4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4">
    <w:name w:val="Legenda4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3">
    <w:name w:val="Nagłówek3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3">
    <w:name w:val="Legenda3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21">
    <w:name w:val="Nagłówek2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rzypisdolny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Bookman Old Style" w:hAnsi="Bookman Old Style" w:eastAsia="Times New Roman" w:cs="Bookman Old Style"/>
      <w:color w:val="000000"/>
      <w:kern w:val="0"/>
      <w:sz w:val="24"/>
      <w:szCs w:val="24"/>
      <w:lang w:val="pl-PL" w:eastAsia="zh-CN" w:bidi="ar-SA"/>
    </w:rPr>
  </w:style>
  <w:style w:type="paragraph" w:styleId="TimesNewRoman">
    <w:name w:val="Times New Roman"/>
    <w:basedOn w:val="Normal"/>
    <w:qFormat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nyWeb">
    <w:name w:val="Normalny (Web)"/>
    <w:basedOn w:val="Normal"/>
    <w:qFormat/>
    <w:pPr>
      <w:suppressAutoHyphens w:val="false"/>
      <w:spacing w:before="280" w:after="119"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781" w:leader="none"/>
        <w:tab w:val="right" w:pos="9563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Podtytu">
    <w:name w:val="Subtitle"/>
    <w:basedOn w:val="Nagwek"/>
    <w:next w:val="Tretekstu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prawdy.info/2023/08/warsztaty-i-narada-pt-uwaga-nowe-gmo-koniem-trojanskim/" TargetMode="External"/><Relationship Id="rId3" Type="http://schemas.openxmlformats.org/officeDocument/2006/relationships/hyperlink" Target="https://instytutsprawobywatelskich.pl/nowe-gmo-watpliwosci-i-pytania-ktore-trzeba-zadawac/" TargetMode="External"/><Relationship Id="rId4" Type="http://schemas.openxmlformats.org/officeDocument/2006/relationships/hyperlink" Target="http://www.eko-cel.pl/" TargetMode="External"/><Relationship Id="rId5" Type="http://schemas.openxmlformats.org/officeDocument/2006/relationships/hyperlink" Target="https://food.ec.europa.eu/system/files/2023-07/gmo_biotech_ngt_ia_report.pdf" TargetMode="External"/><Relationship Id="rId6" Type="http://schemas.openxmlformats.org/officeDocument/2006/relationships/hyperlink" Target="https://www.gov.pl/web/rolnictwo/pakiet-ds-zywnosci-i-bioroznorodnosci--nowe-propozycje-legislacyjne-komisji-europejskiej" TargetMode="External"/><Relationship Id="rId7" Type="http://schemas.openxmlformats.org/officeDocument/2006/relationships/hyperlink" Target="https://ec.europa.eu/commission/presscorner/detail/en/ip_23_3565" TargetMode="External"/><Relationship Id="rId8" Type="http://schemas.openxmlformats.org/officeDocument/2006/relationships/header" Target="head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12</TotalTime>
  <Application>LibreOffice/6.1.5.2$Linux_X86_64 LibreOffice_project/10$Build-2</Application>
  <Pages>4</Pages>
  <Words>1035</Words>
  <Characters>7078</Characters>
  <CharactersWithSpaces>8105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2023-11-18T10:26:36Z</dcterms:created>
  <dc:creator/>
  <dc:description/>
  <dc:language>pl-PL</dc:language>
  <cp:lastModifiedBy/>
  <dcterms:modified xsi:type="dcterms:W3CDTF">2024-01-27T20:38:47Z</dcterms:modified>
  <cp:revision>6</cp:revision>
  <dc:subject/>
  <dc:title>Polska wieś to ciągle niedoceniane bogactwo; stanowi ona fundament, na którym Polacy muszą się oprzeć bowiem od niego zależy nasze bezpieczeństwo żywnościowe oraz zachowanie bogactwa naturalnego i kulturowego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