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lineRule="auto" w:line="276"/>
        <w:jc w:val="right"/>
        <w:rPr/>
      </w:pPr>
      <w:r>
        <w:rPr>
          <w:rFonts w:eastAsia="Tahoma" w:cs="Arial" w:ascii="Calibri" w:hAnsi="Calibri"/>
          <w:b w:val="false"/>
          <w:bCs w:val="false"/>
          <w:color w:val="000000"/>
          <w:sz w:val="22"/>
          <w:szCs w:val="22"/>
        </w:rPr>
        <w:t>Data………………………..</w:t>
      </w:r>
    </w:p>
    <w:p>
      <w:pPr>
        <w:pStyle w:val="Podtytu"/>
        <w:jc w:val="left"/>
        <w:rPr/>
      </w:pPr>
      <w:r>
        <w:rPr>
          <w:rFonts w:eastAsia="Tahoma" w:cs="Arial"/>
          <w:b/>
          <w:color w:val="000000"/>
        </w:rPr>
        <w:t xml:space="preserve">LIST OTWARTY - PETYCJA </w:t>
      </w:r>
      <w:r>
        <w:rPr>
          <w:rFonts w:cs="Arial"/>
          <w:b/>
          <w:color w:val="000000"/>
        </w:rPr>
        <w:t xml:space="preserve">w interesie publicznym   </w:t>
      </w:r>
    </w:p>
    <w:p>
      <w:pPr>
        <w:pStyle w:val="Podtytu"/>
        <w:jc w:val="left"/>
        <w:rPr>
          <w:rFonts w:ascii="Calibri" w:hAnsi="Calibri"/>
          <w:b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</w:r>
    </w:p>
    <w:p>
      <w:pPr>
        <w:pStyle w:val="Normal"/>
        <w:spacing w:lineRule="auto" w:line="276"/>
        <w:ind w:left="4248" w:right="0" w:hanging="0"/>
        <w:rPr>
          <w:rFonts w:ascii="Calibri" w:hAnsi="Calibri"/>
          <w:b/>
          <w:b/>
          <w:bCs/>
          <w:color w:val="000000"/>
          <w:sz w:val="22"/>
          <w:szCs w:val="22"/>
          <w:lang w:val="pl-PL"/>
        </w:rPr>
      </w:pPr>
      <w:r>
        <w:rPr>
          <w:rFonts w:ascii="Calibri" w:hAnsi="Calibri"/>
          <w:b/>
          <w:bCs/>
          <w:color w:val="000000"/>
          <w:sz w:val="22"/>
          <w:szCs w:val="22"/>
          <w:lang w:val="pl-PL"/>
        </w:rPr>
        <w:t>Sz.P.  Jakub Chełstowski</w:t>
      </w:r>
    </w:p>
    <w:p>
      <w:pPr>
        <w:pStyle w:val="Normal"/>
        <w:spacing w:lineRule="auto" w:line="276"/>
        <w:ind w:left="4248" w:right="0" w:hanging="0"/>
        <w:rPr>
          <w:rFonts w:ascii="Calibri" w:hAnsi="Calibri"/>
          <w:b/>
          <w:b/>
          <w:bCs/>
          <w:color w:val="000000"/>
          <w:sz w:val="22"/>
          <w:szCs w:val="22"/>
          <w:lang w:val="pl-PL"/>
        </w:rPr>
      </w:pPr>
      <w:r>
        <w:rPr>
          <w:rFonts w:ascii="Calibri" w:hAnsi="Calibri"/>
          <w:b/>
          <w:bCs/>
          <w:color w:val="000000"/>
          <w:sz w:val="22"/>
          <w:szCs w:val="22"/>
          <w:lang w:val="pl-PL"/>
        </w:rPr>
        <w:t xml:space="preserve">Marszałek Jakub Chełstowski. </w:t>
      </w:r>
    </w:p>
    <w:p>
      <w:pPr>
        <w:pStyle w:val="Normal"/>
        <w:spacing w:lineRule="auto" w:line="276"/>
        <w:ind w:left="4248" w:right="0" w:hanging="0"/>
        <w:rPr>
          <w:rFonts w:ascii="Calibri" w:hAnsi="Calibri"/>
          <w:b/>
          <w:b/>
          <w:bCs/>
          <w:color w:val="000000"/>
          <w:sz w:val="22"/>
          <w:szCs w:val="22"/>
          <w:lang w:val="pl-PL"/>
        </w:rPr>
      </w:pPr>
      <w:r>
        <w:rPr>
          <w:rFonts w:ascii="Calibri" w:hAnsi="Calibri"/>
          <w:b/>
          <w:bCs/>
          <w:color w:val="000000"/>
          <w:sz w:val="22"/>
          <w:szCs w:val="22"/>
          <w:lang w:val="pl-PL"/>
        </w:rPr>
        <w:t xml:space="preserve">marszal@slaskie.pl  </w:t>
      </w:r>
    </w:p>
    <w:p>
      <w:pPr>
        <w:pStyle w:val="Normal"/>
        <w:spacing w:lineRule="auto" w:line="276"/>
        <w:ind w:left="4248" w:right="0" w:hanging="0"/>
        <w:rPr>
          <w:rFonts w:ascii="Calibri" w:hAnsi="Calibri"/>
          <w:b/>
          <w:b/>
          <w:bCs/>
          <w:color w:val="000000"/>
          <w:sz w:val="22"/>
          <w:szCs w:val="22"/>
          <w:lang w:val="pl-PL"/>
        </w:rPr>
      </w:pPr>
      <w:r>
        <w:rPr>
          <w:rFonts w:ascii="Calibri" w:hAnsi="Calibri"/>
          <w:b/>
          <w:bCs/>
          <w:color w:val="000000"/>
          <w:sz w:val="22"/>
          <w:szCs w:val="22"/>
          <w:lang w:val="pl-PL"/>
        </w:rPr>
        <w:t xml:space="preserve">ul. Ligonia 46, 40-037 Katowice </w:t>
      </w:r>
    </w:p>
    <w:p>
      <w:pPr>
        <w:pStyle w:val="Normal"/>
        <w:spacing w:lineRule="auto" w:line="276"/>
        <w:ind w:left="4248" w:right="0" w:hanging="0"/>
        <w:rPr>
          <w:rFonts w:ascii="Calibri" w:hAnsi="Calibri"/>
          <w:i/>
          <w:i/>
          <w:sz w:val="22"/>
          <w:szCs w:val="22"/>
          <w:lang w:val="pl-PL"/>
        </w:rPr>
      </w:pPr>
      <w:r>
        <w:rPr>
          <w:rFonts w:ascii="Calibri" w:hAnsi="Calibri"/>
          <w:i/>
          <w:sz w:val="22"/>
          <w:szCs w:val="22"/>
          <w:lang w:val="pl-PL"/>
        </w:rPr>
      </w:r>
    </w:p>
    <w:p>
      <w:pPr>
        <w:pStyle w:val="Tretekstu"/>
        <w:spacing w:lineRule="auto" w:line="276" w:before="240" w:after="120"/>
        <w:jc w:val="both"/>
        <w:rPr/>
      </w:pPr>
      <w:r>
        <w:rPr>
          <w:rStyle w:val="Wyrnienie"/>
          <w:rFonts w:ascii="Calibri" w:hAnsi="Calibri"/>
          <w:b/>
          <w:i w:val="false"/>
          <w:iCs w:val="false"/>
          <w:color w:val="000000"/>
          <w:sz w:val="22"/>
          <w:szCs w:val="22"/>
        </w:rPr>
        <w:t>Dotyczy: zagrożenia ze strony nowego GMO czyli NGT</w:t>
      </w:r>
    </w:p>
    <w:p>
      <w:pPr>
        <w:pStyle w:val="Tretekstu"/>
        <w:spacing w:lineRule="auto" w:line="276" w:before="240" w:after="120"/>
        <w:jc w:val="both"/>
        <w:rPr/>
      </w:pPr>
      <w:r>
        <w:rPr>
          <w:rStyle w:val="Wyrnienie"/>
          <w:rFonts w:ascii="Calibri" w:hAnsi="Calibri"/>
          <w:i w:val="false"/>
          <w:iCs w:val="false"/>
          <w:color w:val="000000"/>
          <w:sz w:val="22"/>
          <w:szCs w:val="22"/>
        </w:rPr>
        <w:t>Szanown</w:t>
      </w:r>
      <w:r>
        <w:rPr>
          <w:rStyle w:val="Wyrnienie"/>
          <w:rFonts w:eastAsia="Times New Roman" w:cs="Times New Roman" w:ascii="Calibri" w:hAnsi="Calibri"/>
          <w:i w:val="false"/>
          <w:iCs w:val="false"/>
          <w:color w:val="000000"/>
          <w:sz w:val="22"/>
          <w:szCs w:val="22"/>
          <w:lang w:val="pl-PL" w:eastAsia="zh-CN" w:bidi="ar-SA"/>
        </w:rPr>
        <w:t>y</w:t>
      </w:r>
      <w:r>
        <w:rPr>
          <w:rStyle w:val="Wyrnienie"/>
          <w:rFonts w:ascii="Calibri" w:hAnsi="Calibri"/>
          <w:i w:val="false"/>
          <w:iCs w:val="false"/>
          <w:color w:val="000000"/>
          <w:sz w:val="22"/>
          <w:szCs w:val="22"/>
        </w:rPr>
        <w:t xml:space="preserve"> Pa</w:t>
      </w:r>
      <w:r>
        <w:rPr>
          <w:rStyle w:val="Wyrnienie"/>
          <w:rFonts w:eastAsia="Times New Roman" w:cs="Times New Roman" w:ascii="Calibri" w:hAnsi="Calibri"/>
          <w:i w:val="false"/>
          <w:iCs w:val="false"/>
          <w:color w:val="000000"/>
          <w:sz w:val="22"/>
          <w:szCs w:val="22"/>
          <w:lang w:val="pl-PL" w:eastAsia="zh-CN" w:bidi="ar-SA"/>
        </w:rPr>
        <w:t>nie Marszałku</w:t>
      </w:r>
      <w:r>
        <w:rPr>
          <w:rStyle w:val="Wyrnienie"/>
          <w:rFonts w:ascii="Calibri" w:hAnsi="Calibri"/>
          <w:i w:val="false"/>
          <w:iCs w:val="false"/>
          <w:color w:val="000000"/>
          <w:sz w:val="22"/>
          <w:szCs w:val="22"/>
        </w:rPr>
        <w:t xml:space="preserve">, </w:t>
      </w:r>
    </w:p>
    <w:p>
      <w:pPr>
        <w:pStyle w:val="Tretekstu"/>
        <w:spacing w:lineRule="auto" w:line="276" w:before="240" w:after="120"/>
        <w:jc w:val="both"/>
        <w:rPr/>
      </w:pPr>
      <w:r>
        <w:rPr>
          <w:rStyle w:val="Wyrnienie"/>
          <w:rFonts w:ascii="Calibri" w:hAnsi="Calibri"/>
          <w:i w:val="false"/>
          <w:iCs w:val="false"/>
          <w:color w:val="000000"/>
          <w:sz w:val="22"/>
          <w:szCs w:val="22"/>
        </w:rPr>
        <w:t xml:space="preserve">W roku 2005 Sejmik Waszego województwa zadeklarował się jako Strefa Wolna od GMO. </w:t>
      </w:r>
    </w:p>
    <w:p>
      <w:pPr>
        <w:pStyle w:val="Tretekstu"/>
        <w:spacing w:lineRule="auto" w:line="276" w:before="240" w:after="120"/>
        <w:jc w:val="both"/>
        <w:rPr/>
      </w:pPr>
      <w:r>
        <w:rPr>
          <w:rStyle w:val="Wyrnienie"/>
          <w:rFonts w:ascii="Calibri" w:hAnsi="Calibri"/>
          <w:i w:val="false"/>
          <w:iCs w:val="false"/>
          <w:color w:val="000000"/>
          <w:sz w:val="22"/>
          <w:szCs w:val="22"/>
        </w:rPr>
        <w:t>Szanując Wasze stanowisko i stanowiska innych Sejmików Rząd RP przyjął w 2006 roku stanowisko, które obowiązuje do dzisiaj, że terytorium Polski ma być wolne od upraw GMO. Stanowisko to realizują odpowiednie przepisy ustawy o GMM i GMO(*). Do dzisiaj, pomimo intensywnego lobbingu przemysłu GMO w Komisji Europejskiej w Brukseli, mniej niż 2% europejskich gruntów rolnych uprawia rośliny modyfikowane genetycznie.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Jednak genetyczny i chemiczny agrobiznes nie znają końca swojej determinacji. Ich biopiractwo oryginalnych genomów nasion, a następnie patentowanie (czyli prywatyzacja) żywych organizmów – po wstawieniu lub zmienieniu tylko jednego lub kilku genów w genomach zawierających kilkanaście tysięcy do kilkudziesięciu tysięcy genów utworzonych przez Naturę i pokolenia rolników - to nowa próba obalenia oporu społecznego wobec inżynierii genetycznej.</w:t>
        <w:br/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Nowe oszustwo nosi nazwę New Genomic Techniques (NGT – nowe techniki genomowe), a obecny proces legislacyjny, zainicjowany przez Komisję Europejską ma dać prawo do stosowania tych technik.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NGT to nowa nazwa dla współczesnych technik tworzenia GMO, której wprowadzenie i stosowanie służy między innymi do oszukania konsumentów, rolników i polityków, na drodze wprowadzania w błąd opinii społecznej m. in. poprzez rozpowszechnianie deklaracji o bezpieczeństwie czy precyzji tych technologii.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OSTRZEŻENIE: w NGT nie ma nic, co byłoby korzystne dla środowiska lub jakości żywności. Wręcz przeciwnie, jest to dalsze majstrowanie przy genetyce życia, którego jedynym celem jest przeniesienie żywych organizmów z tradycyjnych praktyk krzyżowania do opatentowanej, tworzonej w laboratoriach żywności przemysłowej. Żywność, którą można manipulować, aby ostatecznie zastąpić istniejące tradycje rolnicze oparte na glebie, praktykowane przez miliony rolników na całym świecie, i zdobyć jak największy udział w uprawach i rynku żywności.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Nowe przepisy dotyczące GMO były ostatnio przedmiotem debaty w Parlamencie Europejskim i będą analizowane przez Radę Ministrów UE. Włochy, Austria i Holandia są zdecydowanie przeciwne, ale Polska jeszcze nie podjęła decyzji.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br/>
        <w:t xml:space="preserve">Jeśli ta agenda UE zostanie przyjęta, nie będzie żadnych mechanizmów pozwalających konwencjonalnej, nieekologicznej żywności pozostać "wolną od GMO". Zarówno rolnicy, jak i konsumenci zostaną pozbawieni prawa do suwerenności żywnościowej; nie będzie żadnych zasad wykrywania ani metod monitorowania statusu upraw. 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UWAGA! 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Szanowni Państwo,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Nadszedł moment, aby zażądać od Premiera i Ministra Rolnictwa i Ministra Środowiska RP, by nigdy nie dopuścili do wejścia w życie NGT w Polsce i całej UE.  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276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      </w:t>
      </w:r>
      <w:r>
        <w:rPr>
          <w:rFonts w:ascii="Calibri" w:hAnsi="Calibri"/>
          <w:color w:val="000000"/>
          <w:sz w:val="22"/>
          <w:szCs w:val="22"/>
        </w:rPr>
        <w:t xml:space="preserve">Jeśli zgadzacie się Państwo z naszym stanowiskiem i chcecie ochronić swoje społeczności przed ogromnym zagrożeniem ze strony NGT - nowego GMO (**) - prosimy o wystosowanie do odpowiednich władz listów domagając się natychmiastowego podjęcia i przedstawienia publicznie przez rząd RP negatywnego stanowiska w sprawie zaproponowania przez Komisję Europejską przyjęcia nowego rozporządzenia Parlamentu Europejskiego i Rady w zakresie nowych technik genomowych (NGT) w dokumencie pt. </w:t>
      </w:r>
      <w:r>
        <w:rPr>
          <w:rFonts w:ascii="Calibri" w:hAnsi="Calibri"/>
          <w:i/>
          <w:color w:val="000000"/>
          <w:sz w:val="22"/>
          <w:szCs w:val="22"/>
          <w:lang w:val="en-US"/>
        </w:rPr>
        <w:t>Proposal for a REGULATION OF THE EUROPEAN PARLIAMENT AND OF THE COUNCIL on plants obtained by certain new genomic techniques and their food and feed, and amending Regulation (EU) 2017/625</w:t>
      </w:r>
      <w:r>
        <w:rPr>
          <w:rFonts w:ascii="Calibri" w:hAnsi="Calibri"/>
          <w:color w:val="000000"/>
          <w:sz w:val="22"/>
          <w:szCs w:val="22"/>
          <w:lang w:val="en-US"/>
        </w:rPr>
        <w:t>, opublikowanym w raporcie Komisji Europejskiej z 5.07.2023 (***).</w:t>
      </w:r>
    </w:p>
    <w:p>
      <w:pPr>
        <w:pStyle w:val="Normal"/>
        <w:spacing w:lineRule="auto" w:line="27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spacing w:lineRule="auto" w:line="276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  <w:lang w:val="en-US"/>
        </w:rPr>
        <w:t xml:space="preserve">    </w:t>
      </w:r>
      <w:r>
        <w:rPr>
          <w:rFonts w:ascii="Calibri" w:hAnsi="Calibri"/>
          <w:color w:val="000000"/>
          <w:sz w:val="22"/>
          <w:szCs w:val="22"/>
        </w:rPr>
        <w:t>Nie potrzebujemy laboratoryjnych i innych sztucznych nasion, roślin i zwierząt. Mamy wspaniałą polską, tradycyjną żywność i nasze nasiona. A więc należy się domagać jasnego, jednoznacznego i zdecydowanego stanowiska rządu RP, które musi zawierać przynajmniej następujące postulaty i zasady, które powinno uwzględniać prawo unijne:</w:t>
      </w:r>
    </w:p>
    <w:p>
      <w:pPr>
        <w:pStyle w:val="Normal"/>
        <w:numPr>
          <w:ilvl w:val="0"/>
          <w:numId w:val="2"/>
        </w:numPr>
        <w:spacing w:lineRule="auto" w:line="276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Dotychczasowe przepisy dotyczące ograniczeń użycia GMO  w rolnictwie i żywności muszą być stosowane do wszystkich NGT i produktów NGT.</w:t>
      </w:r>
    </w:p>
    <w:p>
      <w:pPr>
        <w:pStyle w:val="Normal"/>
        <w:numPr>
          <w:ilvl w:val="0"/>
          <w:numId w:val="2"/>
        </w:numPr>
        <w:spacing w:lineRule="auto" w:line="276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Żaden proces produkcyjny stosujący NGT i żaden produkt NGT, lub wytworzony przy użyciu NGT  nie może być wyłączony spod stosowania przepisów dotyczących GMO.</w:t>
      </w:r>
    </w:p>
    <w:p>
      <w:pPr>
        <w:pStyle w:val="Normal"/>
        <w:numPr>
          <w:ilvl w:val="0"/>
          <w:numId w:val="2"/>
        </w:numPr>
        <w:spacing w:lineRule="auto" w:line="276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W stosunku do produktów NGT winien być wprowadzony obowiązek stosowania odpowiednich metod i procedur pozwalających na ich wykrywanie,  analizę ilościową i monitorowanie na każdym etapie produkcji i dystrytbucji.</w:t>
      </w:r>
    </w:p>
    <w:p>
      <w:pPr>
        <w:pStyle w:val="Normal"/>
        <w:numPr>
          <w:ilvl w:val="0"/>
          <w:numId w:val="2"/>
        </w:numPr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Państwa członkowskie UE muszą mieć prawo zakazu stosowania jakiegokolwiek produktu NGT, bez uprzedniej zgody organów Unii Europejskiej.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276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Takie jednoznaczne stanowisko (z powyższymi postulatami i zasadami) rząd RP powinien natychmiast opublikować i podać do informacji wyborców (też mediów głównego nurtu) oraz wszystkich państw UE, Komisji Europejskiej i Parlamentu UE.</w:t>
      </w:r>
    </w:p>
    <w:p>
      <w:pPr>
        <w:pStyle w:val="Normal"/>
        <w:spacing w:lineRule="auto" w:line="276"/>
        <w:ind w:left="0" w:right="0"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 xml:space="preserve">W ślad za tym należy natychmiast podjąć z inicjatywy rządu, przy szerokim udziale konsultacji społecznych,  prace legislacyjne w kierunku stworzenia i zmiany zapisów ustawowych sankcjonujących powyższe postulaty. W tym celu niezbędne jest dokonanie odpowiednich nowelizacji nie tylko ustawy o mikroorganizmach genetycznie zmodyfikowanych lecz również ustawy o nasiennictwie i ustawy o paszach.  </w:t>
      </w:r>
    </w:p>
    <w:p>
      <w:pPr>
        <w:pStyle w:val="Normal"/>
        <w:spacing w:lineRule="auto" w:line="276"/>
        <w:ind w:left="0" w:right="0" w:firstLine="708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Zaniechanie rządu w tym zakresie, bez względu na opcję polityczną która będzie sprawowała władzę, doprowadzi do nieodwracalnych i szkodliwych skutków dla Narodu i gospodarki polskiej. 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Dziś trzeba bronić  Polski, a zwłaszcza interesów i podstaw przetrwania Narodu polskiego nie tylko od strony militarnej. Głównie i na co dzień trzeba bronić Polski, polskich rolników i konsumentów przed niebezpieczną żywnością GMO i NGT oraz dalszym uzależnieniem od korporacji i ponadnarodowych instytucji.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276" w:before="240" w:after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Oczekujemy od Państwa natychmiastowych działań i odpowiedzi na nasz otwarty list-petycję.</w:t>
      </w:r>
    </w:p>
    <w:p>
      <w:pPr>
        <w:pStyle w:val="Normal"/>
        <w:spacing w:lineRule="auto" w:line="276" w:before="240" w:after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W ZAŁĄCZENIU ULOTKA INFORMACYJNA O ZAGROŻENIACH NGT.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Więcej materiałów: </w:t>
      </w:r>
    </w:p>
    <w:p>
      <w:pPr>
        <w:pStyle w:val="Normal"/>
        <w:spacing w:lineRule="auto" w:line="276"/>
        <w:rPr/>
      </w:pPr>
      <w:hyperlink r:id="rId2">
        <w:r>
          <w:rPr>
            <w:rStyle w:val="Czeinternetowe"/>
            <w:rFonts w:ascii="Calibri" w:hAnsi="Calibri"/>
            <w:color w:val="000000"/>
            <w:sz w:val="22"/>
            <w:szCs w:val="22"/>
          </w:rPr>
          <w:t>https://doprawdy.info/2023/08/warsztaty-i-narada-pt-uwaga-nowe-gmo-koniem-trojanskim/</w:t>
        </w:r>
      </w:hyperlink>
    </w:p>
    <w:p>
      <w:pPr>
        <w:pStyle w:val="Normal"/>
        <w:spacing w:lineRule="auto" w:line="276"/>
        <w:rPr/>
      </w:pPr>
      <w:hyperlink r:id="rId3">
        <w:r>
          <w:rPr>
            <w:rStyle w:val="Czeinternetowe"/>
            <w:rFonts w:ascii="Calibri" w:hAnsi="Calibri"/>
            <w:color w:val="000000"/>
            <w:sz w:val="22"/>
            <w:szCs w:val="22"/>
          </w:rPr>
          <w:t>https://instytutsprawobywatelskich.pl/nowe-gmo-watpliwosci-i-pytania-ktore-trzeba-zadawac/</w:t>
        </w:r>
      </w:hyperlink>
    </w:p>
    <w:p>
      <w:pPr>
        <w:pStyle w:val="Normal"/>
        <w:spacing w:lineRule="auto" w:line="276" w:before="240" w:after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276" w:before="240" w:after="0"/>
        <w:rPr/>
      </w:pPr>
      <w:r>
        <w:rPr>
          <w:rStyle w:val="Znakiprzypiswdolnych"/>
          <w:rFonts w:ascii="Calibri" w:hAnsi="Calibri"/>
          <w:color w:val="000000"/>
          <w:sz w:val="32"/>
          <w:szCs w:val="32"/>
          <w:shd w:fill="FFFFFF" w:val="clear"/>
        </w:rPr>
        <w:t xml:space="preserve">Z poważaniem, </w:t>
      </w:r>
    </w:p>
    <w:p>
      <w:pPr>
        <w:pStyle w:val="Normal"/>
        <w:spacing w:lineRule="auto" w:line="276"/>
        <w:ind w:left="426" w:right="0" w:hanging="426"/>
        <w:rPr>
          <w:rFonts w:ascii="Calibri" w:hAnsi="Calibri" w:cs="Times New Roman"/>
          <w:sz w:val="22"/>
          <w:szCs w:val="22"/>
        </w:rPr>
      </w:pPr>
      <w:r>
        <w:rPr>
          <w:rFonts w:cs="Times New Roman" w:ascii="Calibri" w:hAnsi="Calibri"/>
          <w:sz w:val="22"/>
          <w:szCs w:val="22"/>
        </w:rPr>
      </w:r>
    </w:p>
    <w:p>
      <w:pPr>
        <w:pStyle w:val="Normal"/>
        <w:spacing w:lineRule="auto" w:line="276" w:before="240" w:after="0"/>
        <w:rPr>
          <w:rFonts w:ascii="Calibri" w:hAnsi="Calibri" w:cs="Tahoma"/>
          <w:b/>
          <w:b/>
          <w:bCs/>
          <w:color w:val="000000"/>
          <w:sz w:val="22"/>
          <w:szCs w:val="22"/>
          <w:u w:val="single"/>
        </w:rPr>
      </w:pPr>
      <w:r>
        <w:rPr>
          <w:rFonts w:cs="Tahoma" w:ascii="Calibri" w:hAnsi="Calibri"/>
          <w:b/>
          <w:bCs/>
          <w:color w:val="000000"/>
          <w:sz w:val="22"/>
          <w:szCs w:val="22"/>
          <w:u w:val="single"/>
        </w:rPr>
        <w:t>Adresy do Korespondencji:</w:t>
      </w:r>
    </w:p>
    <w:p>
      <w:pPr>
        <w:pStyle w:val="Normal"/>
        <w:spacing w:lineRule="auto" w:line="276"/>
        <w:rPr>
          <w:rStyle w:val="Czeinternetowe"/>
          <w:rFonts w:ascii="Calibri" w:hAnsi="Calibri"/>
          <w:color w:val="000000"/>
          <w:sz w:val="22"/>
          <w:szCs w:val="22"/>
          <w:highlight w:val="white"/>
          <w:u w:val="none"/>
          <w:lang w:val="en-US"/>
        </w:rPr>
      </w:pPr>
      <w:hyperlink r:id="rId4">
        <w:r>
          <w:rPr/>
        </w:r>
      </w:hyperlink>
    </w:p>
    <w:p>
      <w:pPr>
        <w:pStyle w:val="Tretekstu"/>
        <w:spacing w:lineRule="auto" w:line="276" w:before="240" w:after="120"/>
        <w:rPr/>
      </w:pPr>
      <w:r>
        <w:rPr>
          <w:rStyle w:val="Czeinternetowe"/>
          <w:rFonts w:ascii="Calibri" w:hAnsi="Calibri"/>
          <w:b/>
          <w:bCs/>
          <w:color w:val="000000"/>
          <w:sz w:val="22"/>
          <w:szCs w:val="22"/>
          <w:highlight w:val="white"/>
          <w:u w:val="none"/>
        </w:rPr>
        <w:t>Podmioty wnoszące niniejszy list-petycję zgadzają się na publiczne udostępnienie treści tego listu-petycji oraz danych tele-adresowych i dotyczących sygnatariuszy.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(*) GMO – Genetycznie Modyfikowane Organizmy  GMM – Genetycznie Modyfikowane Mikroorganizmy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(**) Należy pamiętać, że wyrok Trybunału Sprawiedliwości Unii Europejskiej z 25 lipca 2018 (sprawa C-528/16) zdecydował, że organizmy tworzone nowymi technikami mutagenezy podlegają w pełni przepisom unijnego prawa o GMO. Stało się tak na skutek uzasadnionych obaw o wymknięcie się produktów NGT spod kontroli prawnej właściwej dla ryzykownych eksperymentów i produktów sztucznej modyfikacji genetycznej. 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Znamiennym jest, że polski rząd i parlament, mimo upływu ponad czterech lat i wcześniejszych apeli Koalicji Polska Wolna od GMO ignoruje to orzeczenie i blokuje wprowadzenie do obowiązującego ustawodawstwa krajowego i do polskiego porządku prawnego przepisów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nakazujących stosowanie regulacji przewidzianych dla GMO w stosunku do NGT.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276"/>
        <w:rPr/>
      </w:pPr>
      <w:r>
        <w:rPr>
          <w:rFonts w:ascii="Calibri" w:hAnsi="Calibri"/>
          <w:color w:val="000000"/>
          <w:sz w:val="22"/>
          <w:szCs w:val="22"/>
          <w:lang w:val="en-US"/>
        </w:rPr>
        <w:t xml:space="preserve">(***) </w:t>
      </w:r>
      <w:r>
        <w:rPr>
          <w:rFonts w:ascii="Calibri" w:hAnsi="Calibri"/>
          <w:i/>
          <w:color w:val="000000"/>
          <w:sz w:val="22"/>
          <w:szCs w:val="22"/>
          <w:lang w:val="en-US"/>
        </w:rPr>
        <w:t>Proposal for a REGULATION OF THE EUROPEAN PARLIAMENT AND OF THE COUNCIL on plants obtained by certain new genomic techniques and their food and feed, and amending Regulation (EU) 2017/625</w:t>
      </w:r>
      <w:r>
        <w:rPr>
          <w:rFonts w:ascii="Calibri" w:hAnsi="Calibri"/>
          <w:color w:val="000000"/>
          <w:sz w:val="22"/>
          <w:szCs w:val="22"/>
          <w:lang w:val="en-US"/>
        </w:rPr>
        <w:t>, European Commission, Brussels, 5.7.2023 SWD(2023) 412 final (</w:t>
      </w:r>
      <w:hyperlink r:id="rId5">
        <w:r>
          <w:rPr>
            <w:rStyle w:val="Czeinternetowe"/>
            <w:rFonts w:ascii="Calibri" w:hAnsi="Calibri"/>
            <w:color w:val="000000"/>
            <w:sz w:val="22"/>
            <w:szCs w:val="22"/>
            <w:lang w:val="en-US"/>
          </w:rPr>
          <w:t>https://food.ec.europa.eu/system/files/2023-07/gmo_biotech_ngt_ia_report.pdf</w:t>
        </w:r>
      </w:hyperlink>
      <w:r>
        <w:rPr>
          <w:rFonts w:ascii="Calibri" w:hAnsi="Calibri"/>
          <w:color w:val="000000"/>
          <w:sz w:val="22"/>
          <w:szCs w:val="22"/>
          <w:lang w:val="en-US"/>
        </w:rPr>
        <w:t xml:space="preserve"> ),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- również: Pakiet ds. żywności i bioróżnorodności – nowe propozycje legislacyjne Komisji</w:t>
      </w:r>
    </w:p>
    <w:p>
      <w:pPr>
        <w:pStyle w:val="Normal"/>
        <w:spacing w:lineRule="auto" w:line="276" w:before="0" w:after="120"/>
        <w:rPr/>
      </w:pPr>
      <w:r>
        <w:rPr>
          <w:rFonts w:ascii="Calibri" w:hAnsi="Calibri"/>
          <w:color w:val="000000"/>
          <w:sz w:val="22"/>
          <w:szCs w:val="22"/>
        </w:rPr>
        <w:t>Europejskiej (</w:t>
      </w:r>
      <w:hyperlink r:id="rId6">
        <w:r>
          <w:rPr>
            <w:rStyle w:val="Czeinternetowe"/>
            <w:rFonts w:ascii="Calibri" w:hAnsi="Calibri"/>
            <w:color w:val="000000"/>
            <w:sz w:val="22"/>
            <w:szCs w:val="22"/>
          </w:rPr>
          <w:t>https://www.gov.pl/web/rolnictwo/pakiet-ds-zywnosci-i-bioroznorodnosci--nowe-propozycje-legislacyjne-komisji-europejskiej</w:t>
        </w:r>
      </w:hyperlink>
      <w:r>
        <w:rPr>
          <w:rFonts w:ascii="Calibri" w:hAnsi="Calibri"/>
          <w:color w:val="000000"/>
          <w:sz w:val="22"/>
          <w:szCs w:val="22"/>
        </w:rPr>
        <w:t xml:space="preserve"> ), </w:t>
      </w:r>
      <w:hyperlink r:id="rId7">
        <w:r>
          <w:rPr>
            <w:rStyle w:val="Czeinternetowe"/>
            <w:rFonts w:ascii="Calibri" w:hAnsi="Calibri"/>
            <w:color w:val="000000"/>
            <w:sz w:val="22"/>
            <w:szCs w:val="22"/>
          </w:rPr>
          <w:t>https://ec.europa.eu/commission/presscorner/detail/en/ip_23_3565</w:t>
        </w:r>
      </w:hyperlink>
    </w:p>
    <w:p>
      <w:pPr>
        <w:pStyle w:val="Normal"/>
        <w:spacing w:lineRule="auto" w:line="276" w:before="0" w:after="120"/>
        <w:rPr/>
      </w:pPr>
      <w:r>
        <w:rPr>
          <w:rFonts w:ascii="Calibri" w:hAnsi="Calibri"/>
          <w:color w:val="000000"/>
          <w:sz w:val="22"/>
          <w:szCs w:val="22"/>
        </w:rPr>
        <w:t>Istnieją niezaprzeczalne dowody naukowe, świadczące, wbrew opinii lansowanej przez korporacje biotechnologiczne, że produkty NGT nie są bezpieczne i stanowią zagrożenie dla zdrowia i środowiska zarówno podczas ich wytwarzania jak i zastosowania, szczególnie w warunkach uwolnienia do środowiska, a więc obecnie w uprawach roślin.</w:t>
      </w:r>
    </w:p>
    <w:sectPr>
      <w:headerReference w:type="default" r:id="rId8"/>
      <w:type w:val="nextPage"/>
      <w:pgSz w:w="11906" w:h="16838"/>
      <w:pgMar w:left="1417" w:right="926" w:header="1417" w:top="1976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auto"/>
    <w:pitch w:val="default"/>
  </w:font>
  <w:font w:name="Times New Roman">
    <w:charset w:val="01"/>
    <w:family w:val="auto"/>
    <w:pitch w:val="default"/>
  </w:font>
  <w:font w:name="Arial">
    <w:charset w:val="01"/>
    <w:family w:val="auto"/>
    <w:pitch w:val="default"/>
  </w:font>
  <w:font w:name="OpenSymbol">
    <w:altName w:val="Arial Unicode MS"/>
    <w:charset w:val="01"/>
    <w:family w:val="auto"/>
    <w:pitch w:val="default"/>
  </w:font>
  <w:font w:name="Calibri">
    <w:charset w:val="01"/>
    <w:family w:val="auto"/>
    <w:pitch w:val="default"/>
  </w:font>
  <w:font w:name="Liberation Sans">
    <w:altName w:val="Arial"/>
    <w:charset w:val="01"/>
    <w:family w:val="auto"/>
    <w:pitch w:val="default"/>
  </w:font>
  <w:font w:name="Bookman Old Style">
    <w:charset w:val="01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Nagwek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873"/>
        </w:tabs>
        <w:ind w:left="873" w:hanging="360"/>
      </w:pPr>
    </w:lvl>
    <w:lvl w:ilvl="1">
      <w:start w:val="1"/>
      <w:numFmt w:val="decimal"/>
      <w:lvlText w:val="%2."/>
      <w:lvlJc w:val="left"/>
      <w:pPr>
        <w:tabs>
          <w:tab w:val="num" w:pos="1233"/>
        </w:tabs>
        <w:ind w:left="1233" w:hanging="360"/>
      </w:pPr>
    </w:lvl>
    <w:lvl w:ilvl="2">
      <w:start w:val="1"/>
      <w:numFmt w:val="decimal"/>
      <w:lvlText w:val="%3."/>
      <w:lvlJc w:val="left"/>
      <w:pPr>
        <w:tabs>
          <w:tab w:val="num" w:pos="1593"/>
        </w:tabs>
        <w:ind w:left="1593" w:hanging="360"/>
      </w:pPr>
    </w:lvl>
    <w:lvl w:ilvl="3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>
      <w:start w:val="1"/>
      <w:numFmt w:val="decimal"/>
      <w:lvlText w:val="%5."/>
      <w:lvlJc w:val="left"/>
      <w:pPr>
        <w:tabs>
          <w:tab w:val="num" w:pos="2313"/>
        </w:tabs>
        <w:ind w:left="2313" w:hanging="360"/>
      </w:pPr>
    </w:lvl>
    <w:lvl w:ilvl="5">
      <w:start w:val="1"/>
      <w:numFmt w:val="decimal"/>
      <w:lvlText w:val="%6."/>
      <w:lvlJc w:val="left"/>
      <w:pPr>
        <w:tabs>
          <w:tab w:val="num" w:pos="2673"/>
        </w:tabs>
        <w:ind w:left="2673" w:hanging="360"/>
      </w:pPr>
    </w:lvl>
    <w:lvl w:ilvl="6">
      <w:start w:val="1"/>
      <w:numFmt w:val="decimal"/>
      <w:lvlText w:val="%7."/>
      <w:lvlJc w:val="left"/>
      <w:pPr>
        <w:tabs>
          <w:tab w:val="num" w:pos="3033"/>
        </w:tabs>
        <w:ind w:left="3033" w:hanging="360"/>
      </w:pPr>
    </w:lvl>
    <w:lvl w:ilvl="7">
      <w:start w:val="1"/>
      <w:numFmt w:val="decimal"/>
      <w:lvlText w:val="%8."/>
      <w:lvlJc w:val="left"/>
      <w:pPr>
        <w:tabs>
          <w:tab w:val="num" w:pos="3393"/>
        </w:tabs>
        <w:ind w:left="3393" w:hanging="360"/>
      </w:pPr>
    </w:lvl>
    <w:lvl w:ilvl="8">
      <w:start w:val="1"/>
      <w:numFmt w:val="decimal"/>
      <w:lvlText w:val="%9."/>
      <w:lvlJc w:val="left"/>
      <w:pPr>
        <w:tabs>
          <w:tab w:val="num" w:pos="3753"/>
        </w:tabs>
        <w:ind w:left="3753" w:hanging="36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fals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zh-CN" w:bidi="ar-SA"/>
    </w:rPr>
  </w:style>
  <w:style w:type="paragraph" w:styleId="Nagwek1">
    <w:name w:val="Heading 1"/>
    <w:basedOn w:val="Normal"/>
    <w:next w:val="Normal"/>
    <w:qFormat/>
    <w:pPr>
      <w:keepNext w:val="true"/>
      <w:numPr>
        <w:ilvl w:val="0"/>
        <w:numId w:val="1"/>
      </w:numPr>
      <w:suppressAutoHyphens w:val="false"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next w:val="Tretekstu"/>
    <w:qFormat/>
    <w:pPr>
      <w:widowControl w:val="false"/>
      <w:numPr>
        <w:ilvl w:val="1"/>
        <w:numId w:val="1"/>
      </w:numPr>
      <w:spacing w:before="200" w:after="120"/>
      <w:outlineLvl w:val="1"/>
    </w:pPr>
    <w:rPr>
      <w:rFonts w:ascii="Liberation Serif;Times New Roman" w:hAnsi="Liberation Serif;Times New Roman" w:eastAsia="NSimSun" w:cs="Arial"/>
      <w:b/>
      <w:bCs/>
      <w:color w:val="auto"/>
      <w:kern w:val="0"/>
      <w:sz w:val="36"/>
      <w:szCs w:val="36"/>
      <w:lang w:val="pl-PL" w:eastAsia="zh-CN" w:bidi="hi-IN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omylnaczcionkaakapitu">
    <w:name w:val="Domyślna czcionka akapitu"/>
    <w:qFormat/>
    <w:rPr/>
  </w:style>
  <w:style w:type="character" w:styleId="Domylnaczcionkaakapitu8">
    <w:name w:val="Domyślna czcionka akapitu8"/>
    <w:qFormat/>
    <w:rPr/>
  </w:style>
  <w:style w:type="character" w:styleId="Domylnaczcionkaakapitu7">
    <w:name w:val="Domyślna czcionka akapitu7"/>
    <w:qFormat/>
    <w:rPr/>
  </w:style>
  <w:style w:type="character" w:styleId="Domylnaczcionkaakapitu6">
    <w:name w:val="Domyślna czcionka akapitu6"/>
    <w:qFormat/>
    <w:rPr/>
  </w:style>
  <w:style w:type="character" w:styleId="WW8Num2z0">
    <w:name w:val="WW8Num2z0"/>
    <w:qFormat/>
    <w:rPr>
      <w:b/>
      <w:bCs/>
      <w:color w:val="000000"/>
    </w:rPr>
  </w:style>
  <w:style w:type="character" w:styleId="WW8Num3z0">
    <w:name w:val="WW8Num3z0"/>
    <w:qFormat/>
    <w:rPr/>
  </w:style>
  <w:style w:type="character" w:styleId="Domylnaczcionkaakapitu5">
    <w:name w:val="Domyślna czcionka akapitu5"/>
    <w:qFormat/>
    <w:rPr/>
  </w:style>
  <w:style w:type="character" w:styleId="WW8Num4z0">
    <w:name w:val="WW8Num4z0"/>
    <w:qFormat/>
    <w:rPr>
      <w:b/>
      <w:bCs/>
      <w:color w:val="000000"/>
    </w:rPr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Domylnaczcionkaakapitu4">
    <w:name w:val="Domyślna czcionka akapitu4"/>
    <w:qFormat/>
    <w:rPr/>
  </w:style>
  <w:style w:type="character" w:styleId="Domylnaczcionkaakapitu3">
    <w:name w:val="Domyślna czcionka akapitu3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Domylnaczcionkaakapitu2">
    <w:name w:val="Domyślna czcionka akapitu2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Domylnaczcionkaakapitu1">
    <w:name w:val="Domyślna czcionka akapitu1"/>
    <w:qFormat/>
    <w:rPr/>
  </w:style>
  <w:style w:type="character" w:styleId="Czeinternetowe">
    <w:name w:val="Łącze internetowe"/>
    <w:rPr>
      <w:color w:val="0000FF"/>
      <w:u w:val="single"/>
    </w:rPr>
  </w:style>
  <w:style w:type="character" w:styleId="Wyrnienie">
    <w:name w:val="Wyróżnienie"/>
    <w:qFormat/>
    <w:rPr>
      <w:i/>
      <w:iCs/>
    </w:rPr>
  </w:style>
  <w:style w:type="character" w:styleId="FootnoteCharacters">
    <w:name w:val="Footnote Characters"/>
    <w:qFormat/>
    <w:rPr>
      <w:vertAlign w:val="superscript"/>
    </w:rPr>
  </w:style>
  <w:style w:type="character" w:styleId="Startocchapter">
    <w:name w:val="star-toc-chapter"/>
    <w:basedOn w:val="Domylnaczcionkaakapitu1"/>
    <w:qFormat/>
    <w:rPr/>
  </w:style>
  <w:style w:type="character" w:styleId="Startocauthor">
    <w:name w:val="star-toc-author"/>
    <w:basedOn w:val="Domylnaczcionkaakapitu1"/>
    <w:qFormat/>
    <w:rPr/>
  </w:style>
  <w:style w:type="character" w:styleId="Authorroledesc">
    <w:name w:val="authorroledesc"/>
    <w:basedOn w:val="Domylnaczcionkaakapitu1"/>
    <w:qFormat/>
    <w:rPr/>
  </w:style>
  <w:style w:type="character" w:styleId="Publicationdate">
    <w:name w:val="publicationdate"/>
    <w:basedOn w:val="Domylnaczcionkaakapitu1"/>
    <w:qFormat/>
    <w:rPr/>
  </w:style>
  <w:style w:type="character" w:styleId="Availability">
    <w:name w:val="availability"/>
    <w:basedOn w:val="Domylnaczcionkaakapitu1"/>
    <w:qFormat/>
    <w:rPr/>
  </w:style>
  <w:style w:type="character" w:styleId="Znakiprzypiswdolnych">
    <w:name w:val="Znaki przypisów dolnych"/>
    <w:qFormat/>
    <w:rPr>
      <w:vertAlign w:val="superscript"/>
    </w:rPr>
  </w:style>
  <w:style w:type="character" w:styleId="Mocnewyrnione">
    <w:name w:val="Mocne wyróżnione"/>
    <w:qFormat/>
    <w:rPr>
      <w:b/>
      <w:bCs/>
    </w:rPr>
  </w:style>
  <w:style w:type="character" w:styleId="Odwoanieprzypisudolnego1">
    <w:name w:val="Odwołanie przypisu dolnego1"/>
    <w:qFormat/>
    <w:rPr>
      <w:vertAlign w:val="superscript"/>
    </w:rPr>
  </w:style>
  <w:style w:type="character" w:styleId="Znakiprzypiswkocowych">
    <w:name w:val="Znaki przypisów końcowych"/>
    <w:qFormat/>
    <w:rPr>
      <w:vertAlign w:val="superscript"/>
    </w:rPr>
  </w:style>
  <w:style w:type="character" w:styleId="WWZnakiprzypiswkocowych">
    <w:name w:val="WW-Znaki przypisów końcowych"/>
    <w:qFormat/>
    <w:rPr/>
  </w:style>
  <w:style w:type="character" w:styleId="Odwiedzoneczeinternetowe">
    <w:name w:val="Odwiedzone łącze internetowe"/>
    <w:rPr>
      <w:color w:val="800000"/>
      <w:u w:val="single"/>
      <w:lang w:val="zxx" w:bidi="zxx"/>
    </w:rPr>
  </w:style>
  <w:style w:type="character" w:styleId="Odwoanieprzypisudolnego2">
    <w:name w:val="Odwołanie przypisu dolnego2"/>
    <w:qFormat/>
    <w:rPr>
      <w:vertAlign w:val="superscript"/>
    </w:rPr>
  </w:style>
  <w:style w:type="character" w:styleId="Odwoanieprzypisukocowego1">
    <w:name w:val="Odwołanie przypisu końcowego1"/>
    <w:qFormat/>
    <w:rPr>
      <w:vertAlign w:val="superscript"/>
    </w:rPr>
  </w:style>
  <w:style w:type="character" w:styleId="Odwoanieprzypisudolnego3">
    <w:name w:val="Odwołanie przypisu dolnego3"/>
    <w:qFormat/>
    <w:rPr>
      <w:vertAlign w:val="superscript"/>
    </w:rPr>
  </w:style>
  <w:style w:type="character" w:styleId="Odwoanieprzypisukocowego2">
    <w:name w:val="Odwołanie przypisu końcowego2"/>
    <w:qFormat/>
    <w:rPr>
      <w:vertAlign w:val="superscript"/>
    </w:rPr>
  </w:style>
  <w:style w:type="character" w:styleId="Odwoanieprzypisudolnego4">
    <w:name w:val="Odwołanie przypisu dolnego4"/>
    <w:qFormat/>
    <w:rPr>
      <w:vertAlign w:val="superscript"/>
    </w:rPr>
  </w:style>
  <w:style w:type="character" w:styleId="Odwoanieprzypisukocowego3">
    <w:name w:val="Odwołanie przypisu końcowego3"/>
    <w:qFormat/>
    <w:rPr>
      <w:vertAlign w:val="superscript"/>
    </w:rPr>
  </w:style>
  <w:style w:type="character" w:styleId="Odwoanieprzypisudolnego5">
    <w:name w:val="Odwołanie przypisu dolnego5"/>
    <w:qFormat/>
    <w:rPr>
      <w:vertAlign w:val="superscript"/>
    </w:rPr>
  </w:style>
  <w:style w:type="character" w:styleId="Odwoanieprzypisukocowego4">
    <w:name w:val="Odwołanie przypisu końcowego4"/>
    <w:qFormat/>
    <w:rPr>
      <w:vertAlign w:val="superscript"/>
    </w:rPr>
  </w:style>
  <w:style w:type="character" w:styleId="Znakiwypunktowania">
    <w:name w:val="Znaki wypunktowania"/>
    <w:qFormat/>
    <w:rPr>
      <w:rFonts w:ascii="OpenSymbol;Arial Unicode MS" w:hAnsi="OpenSymbol;Arial Unicode MS" w:eastAsia="OpenSymbol;Arial Unicode MS" w:cs="OpenSymbol;Arial Unicode MS"/>
    </w:rPr>
  </w:style>
  <w:style w:type="character" w:styleId="WWMocnewyrnione">
    <w:name w:val="WW-Mocne wyróżnione"/>
    <w:qFormat/>
    <w:rPr>
      <w:b/>
      <w:bCs/>
    </w:rPr>
  </w:style>
  <w:style w:type="character" w:styleId="Znakinumeracji">
    <w:name w:val="Znaki numeracji"/>
    <w:qFormat/>
    <w:rPr/>
  </w:style>
  <w:style w:type="character" w:styleId="ListLabel1">
    <w:name w:val="ListLabel 1"/>
    <w:qFormat/>
    <w:rPr>
      <w:rFonts w:ascii="Calibri" w:hAnsi="Calibri"/>
      <w:color w:val="000000"/>
      <w:sz w:val="22"/>
      <w:szCs w:val="22"/>
    </w:rPr>
  </w:style>
  <w:style w:type="character" w:styleId="ListLabel2">
    <w:name w:val="ListLabel 2"/>
    <w:qFormat/>
    <w:rPr>
      <w:rFonts w:ascii="Calibri" w:hAnsi="Calibri"/>
      <w:color w:val="000000"/>
      <w:sz w:val="22"/>
      <w:szCs w:val="22"/>
      <w:lang w:bidi="hi-IN"/>
    </w:rPr>
  </w:style>
  <w:style w:type="character" w:styleId="ListLabel3">
    <w:name w:val="ListLabel 3"/>
    <w:qFormat/>
    <w:rPr>
      <w:rFonts w:ascii="Calibri" w:hAnsi="Calibri"/>
      <w:color w:val="000000"/>
      <w:sz w:val="22"/>
      <w:szCs w:val="22"/>
      <w:u w:val="none"/>
      <w:shd w:fill="FFFFFF" w:val="clear"/>
      <w:lang w:val="en-US"/>
    </w:rPr>
  </w:style>
  <w:style w:type="character" w:styleId="ListLabel4">
    <w:name w:val="ListLabel 4"/>
    <w:qFormat/>
    <w:rPr>
      <w:rFonts w:ascii="Calibri" w:hAnsi="Calibri"/>
      <w:color w:val="000000"/>
      <w:sz w:val="22"/>
      <w:szCs w:val="22"/>
      <w:lang w:val="en-U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bidi="zxx"/>
    </w:rPr>
  </w:style>
  <w:style w:type="paragraph" w:styleId="Nagwek11">
    <w:name w:val="Nagłówek1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Nagwek8">
    <w:name w:val="Nagłówek8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Legenda">
    <w:name w:val="Legenda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agwek7">
    <w:name w:val="Nagłówek7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Legenda7">
    <w:name w:val="Legenda7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agwek6">
    <w:name w:val="Nagłówek6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Legenda6">
    <w:name w:val="Legenda6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agwek5">
    <w:name w:val="Nagłówek5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Legenda5">
    <w:name w:val="Legenda5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agwek4">
    <w:name w:val="Nagłówek4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Legenda4">
    <w:name w:val="Legenda4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agwek3">
    <w:name w:val="Nagłówek3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Legenda3">
    <w:name w:val="Legenda3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agwek21">
    <w:name w:val="Nagłówek2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Legenda2">
    <w:name w:val="Legenda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egenda1">
    <w:name w:val="Legenda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Przypisdolny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Bookman Old Style" w:hAnsi="Bookman Old Style" w:eastAsia="Times New Roman" w:cs="Bookman Old Style"/>
      <w:color w:val="000000"/>
      <w:kern w:val="0"/>
      <w:sz w:val="24"/>
      <w:szCs w:val="24"/>
      <w:lang w:val="pl-PL" w:eastAsia="zh-CN" w:bidi="ar-SA"/>
    </w:rPr>
  </w:style>
  <w:style w:type="paragraph" w:styleId="TimesNewRoman">
    <w:name w:val="Times New Roman"/>
    <w:basedOn w:val="Normal"/>
    <w:qFormat/>
    <w:pPr/>
    <w:rPr/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NormalnyWeb">
    <w:name w:val="Normalny (Web)"/>
    <w:basedOn w:val="Normal"/>
    <w:qFormat/>
    <w:pPr>
      <w:suppressAutoHyphens w:val="false"/>
      <w:spacing w:before="280" w:after="119"/>
    </w:pPr>
    <w:rPr/>
  </w:style>
  <w:style w:type="paragraph" w:styleId="Gwkaistopka">
    <w:name w:val="Główka i stopka"/>
    <w:basedOn w:val="Normal"/>
    <w:qFormat/>
    <w:pPr>
      <w:suppressLineNumbers/>
      <w:tabs>
        <w:tab w:val="clear" w:pos="708"/>
        <w:tab w:val="center" w:pos="4781" w:leader="none"/>
        <w:tab w:val="right" w:pos="9563" w:leader="none"/>
      </w:tabs>
    </w:pPr>
    <w:rPr/>
  </w:style>
  <w:style w:type="paragraph" w:styleId="Gwka">
    <w:name w:val="Header"/>
    <w:basedOn w:val="Gwkaistopka"/>
    <w:pPr>
      <w:suppressLineNumbers/>
    </w:pPr>
    <w:rPr/>
  </w:style>
  <w:style w:type="paragraph" w:styleId="Podtytu">
    <w:name w:val="Subtitle"/>
    <w:basedOn w:val="Nagwek"/>
    <w:next w:val="Tretekstu"/>
    <w:qFormat/>
    <w:pPr>
      <w:spacing w:before="60" w:after="120"/>
      <w:jc w:val="center"/>
    </w:pPr>
    <w:rPr>
      <w:sz w:val="36"/>
      <w:szCs w:val="3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doprawdy.info/2023/08/warsztaty-i-narada-pt-uwaga-nowe-gmo-koniem-trojanskim/" TargetMode="External"/><Relationship Id="rId3" Type="http://schemas.openxmlformats.org/officeDocument/2006/relationships/hyperlink" Target="https://instytutsprawobywatelskich.pl/nowe-gmo-watpliwosci-i-pytania-ktore-trzeba-zadawac/" TargetMode="External"/><Relationship Id="rId4" Type="http://schemas.openxmlformats.org/officeDocument/2006/relationships/hyperlink" Target="http://www.eko-cel.pl/" TargetMode="External"/><Relationship Id="rId5" Type="http://schemas.openxmlformats.org/officeDocument/2006/relationships/hyperlink" Target="https://food.ec.europa.eu/system/files/2023-07/gmo_biotech_ngt_ia_report.pdf" TargetMode="External"/><Relationship Id="rId6" Type="http://schemas.openxmlformats.org/officeDocument/2006/relationships/hyperlink" Target="https://www.gov.pl/web/rolnictwo/pakiet-ds-zywnosci-i-bioroznorodnosci--nowe-propozycje-legislacyjne-komisji-europejskiej" TargetMode="External"/><Relationship Id="rId7" Type="http://schemas.openxmlformats.org/officeDocument/2006/relationships/hyperlink" Target="https://ec.europa.eu/commission/presscorner/detail/en/ip_23_3565" TargetMode="External"/><Relationship Id="rId8" Type="http://schemas.openxmlformats.org/officeDocument/2006/relationships/header" Target="header1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Normal_x005F_x005F_x0000_</Template>
  <TotalTime>16</TotalTime>
  <Application>LibreOffice/6.1.5.2$Linux_X86_64 LibreOffice_project/10$Build-2</Application>
  <Pages>4</Pages>
  <Words>1035</Words>
  <Characters>7056</Characters>
  <CharactersWithSpaces>8085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2023-11-18T10:26:36Z</dcterms:created>
  <dc:creator/>
  <dc:description/>
  <dc:language>pl-PL</dc:language>
  <cp:lastModifiedBy/>
  <dcterms:modified xsi:type="dcterms:W3CDTF">2024-01-27T20:35:43Z</dcterms:modified>
  <cp:revision>17</cp:revision>
  <dc:subject/>
  <dc:title>Polska wieś to ciągle niedoceniane bogactwo; stanowi ona fundament, na którym Polacy muszą się oprzeć bowiem od niego zależy nasze bezpieczeństwo żywnościowe oraz zachowanie bogactwa naturalnego i kulturowego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