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jc w:val="right"/>
        <w:rPr/>
      </w:pPr>
      <w:r>
        <w:rPr>
          <w:rFonts w:eastAsia="Tahoma" w:cs="Arial" w:ascii="Calibri" w:hAnsi="Calibri"/>
          <w:b w:val="false"/>
          <w:bCs w:val="false"/>
          <w:color w:val="000000"/>
          <w:sz w:val="22"/>
          <w:szCs w:val="22"/>
        </w:rPr>
        <w:t>Data………………………..</w:t>
      </w:r>
    </w:p>
    <w:p>
      <w:pPr>
        <w:pStyle w:val="Podtytu"/>
        <w:jc w:val="left"/>
        <w:rPr/>
      </w:pPr>
      <w:r>
        <w:rPr>
          <w:rFonts w:eastAsia="Tahoma" w:cs="Arial"/>
          <w:b/>
          <w:color w:val="000000"/>
        </w:rPr>
        <w:t xml:space="preserve">LIST OTWARTY - PETYCJA </w:t>
      </w:r>
      <w:r>
        <w:rPr>
          <w:rFonts w:cs="Arial"/>
          <w:b/>
          <w:color w:val="000000"/>
        </w:rPr>
        <w:t xml:space="preserve">w interesie publicznym   </w:t>
      </w:r>
    </w:p>
    <w:p>
      <w:pPr>
        <w:pStyle w:val="Tretekstu"/>
        <w:spacing w:lineRule="auto" w:line="276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  <w:lang w:val="pl-PL" w:eastAsia="zh-CN" w:bidi="ar-SA"/>
        </w:rPr>
        <w:t>Radni Sejmiku Województwa Wielkopolskiego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  <w:lang w:val="pl-PL" w:eastAsia="zh-CN" w:bidi="ar-SA"/>
        </w:rPr>
        <w:t>al. Niepodległości 34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  <w:lang w:val="pl-PL" w:eastAsia="zh-CN" w:bidi="ar-SA"/>
        </w:rPr>
        <w:t>61-714 Poznań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  <w:lang w:val="pl-PL" w:eastAsia="zh-CN" w:bidi="ar-SA"/>
        </w:rPr>
        <w:t>e-mail: sejmik@umww.pl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i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b/>
          <w:i w:val="false"/>
          <w:iCs w:val="false"/>
          <w:color w:val="000000"/>
          <w:sz w:val="22"/>
          <w:szCs w:val="22"/>
        </w:rPr>
        <w:t>Dotyczy: zagrożenia ze strony nowego GMO czyli NGT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Szanown</w:t>
      </w:r>
      <w:r>
        <w:rPr>
          <w:rStyle w:val="Wyrnienie"/>
          <w:rFonts w:eastAsia="Times New Roman" w:cs="Times New Roman" w:ascii="Calibri" w:hAnsi="Calibri"/>
          <w:i w:val="false"/>
          <w:iCs w:val="false"/>
          <w:color w:val="000000"/>
          <w:sz w:val="22"/>
          <w:szCs w:val="22"/>
          <w:lang w:val="pl-PL" w:eastAsia="zh-CN" w:bidi="ar-SA"/>
        </w:rPr>
        <w:t>i Państwo</w:t>
      </w: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, 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W roku 2005 Sejmik Waszego województwa zadeklarował się jako Strefa Wolna od GMO.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Szanując Wasze stanowisko i stanowiska innych Sejmików Rząd RP przyjął w 2006 roku stanowisko, które obowiązuje do dzisiaj, że terytorium Polski ma być wolne od upraw GMO. Stanowisko to realizują odpowiednie przepisy ustawy o GMM i GMO(*). Do dzisiaj, pomimo intensywnego lobbingu przemysłu GMO w Komisji Europejskiej w Brukseli, mniej niż 2% europejskich gruntów rolnych uprawia rośliny modyfikowane genetycznie.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Jednak genetyczny i chemiczny agrobiznes nie znają końca swojej determinacji. Ich biopiractwo oryginalnych genomów nasion, a następnie patentowanie (czyli prywatyzacja) żywych organizmów – po wstawieniu lub zmienieniu tylko jednego lub kilku genów w genomach zawierających kilkanaście tysięcy do kilkudziesięciu tysięcy genów utworzonych przez Naturę i pokolenia rolników - to nowa próba obalenia oporu społecznego wobec inżynierii genetycznej.</w:t>
        <w:br/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oszustwo nosi nazwę New Genomic Techniques (NGT – nowe techniki genomowe), a obecny proces legislacyjny, zainicjowany przez Komisję Europejską ma dać prawo do stosowania tych technik.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NGT to nowa nazwa dla współczesnych technik tworzenia GMO, której wprowadzenie i stosowanie służy między innymi do oszukania konsumentów, rolników i polityków, na drodze wprowadzania w błąd opinii społecznej m. in. poprzez rozpowszechnianie deklaracji o bezpieczeństwie czy precyzji tych technologii.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OSTRZEŻENIE: w NGT nie ma nic, co byłoby korzystne dla środowiska lub jakości żywności. Wręcz przeciwnie, jest to dalsze majstrowanie przy genetyce życia, którego jedynym celem jest przeniesienie żywych organizmów z tradycyjnych praktyk krzyżowania do opatentowanej, tworzonej w laboratoriach żywności przemysłowej. Żywność, którą można manipulować, aby ostatecznie zastąpić istniejące tradycje rolnicze oparte na glebie, praktykowane przez miliony rolników na całym świecie, i zdobyć jak największy udział w uprawach i rynku żywności.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przepisy dotyczące GMO były ostatnio przedmiotem debaty w Parlamencie Europejskim i będą analizowane przez Radę Ministrów UE. Włochy, Austria i Holandia są zdecydowanie przeciwne, ale Polska jeszcze nie podjęła decyzji.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  <w:t xml:space="preserve">Jeśli ta agenda UE zostanie przyjęta, nie będzie żadnych mechanizmów pozwalających konwencjonalnej, nieekologicznej żywności pozostać "wolną od GMO". Zarówno rolnicy, jak i konsumenci zostaną pozbawieni prawa do suwerenności żywnościowej; nie będzie żadnych zasad wykrywania ani metod monitorowania statusu upraw.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UWAGA!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Szanowni Państwo,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Nadszedł moment, aby zażądać od Premiera i Ministra Rolnictwa i Ministra Środowiska RP, by nigdy nie dopuścili do wejścia w życie NGT w Polsce i całej UE. 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</w:t>
      </w:r>
      <w:r>
        <w:rPr>
          <w:rFonts w:ascii="Calibri" w:hAnsi="Calibri"/>
          <w:color w:val="000000"/>
          <w:sz w:val="22"/>
          <w:szCs w:val="22"/>
        </w:rPr>
        <w:t xml:space="preserve">Jeśli zgadzacie się Państwo z naszym stanowiskiem i chcecie ochronić swoje społeczności przed ogromnym zagrożeniem ze strony NGT - nowego GMO (**) - prosimy o wystosowanie do odpowiednich władz listów domagając się natychmiastowego podjęcia i przedstawienia publicznie przez rząd RP negatywnego stanowiska w sprawie zaproponowania przez Komisję Europejską przyjęcia nowego rozporządzenia Parlamentu Europejskiego i Rady w zakresie nowych technik genomowych (NGT) w dokumencie pt.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opublikowanym w raporcie Komisji Europejskiej z 5.07.2023 (***).</w:t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    </w:t>
      </w:r>
      <w:r>
        <w:rPr>
          <w:rFonts w:ascii="Calibri" w:hAnsi="Calibri"/>
          <w:color w:val="000000"/>
          <w:sz w:val="22"/>
          <w:szCs w:val="22"/>
        </w:rPr>
        <w:t>Nie potrzebujemy laboratoryjnych i innych sztucznych nasion, roślin i zwierząt. Mamy wspaniałą polską, tradycyjną żywność i nasze nasiona. A więc należy się domagać jasnego, jednoznacznego i zdecydowanego stanowiska rządu RP, które musi zawierać przynajmniej następujące postulaty i zasady, które powinno uwzględniać prawo unijne: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Dotychczasowe przepisy dotyczące ograniczeń użycia GMO  w rolnictwie i żywności muszą być stosowane do wszystkich NGT i produktów NGT.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Żaden proces produkcyjny stosujący NGT i żaden produkt NGT, lub wytworzony przy użyciu NGT  nie może być wyłączony spod stosowania przepisów dotyczących GMO.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stosunku do produktów NGT winien być wprowadzony obowiązek stosowania odpowiednich metod i procedur pozwalających na ich wykrywanie,  analizę ilościową i monitorowanie na każdym etapie produkcji i dystrytbucji.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Państwa członkowskie UE muszą mieć prawo zakazu stosowania jakiegokolwiek produktu NGT, bez uprzedniej zgody organów Unii Europejskiej.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Takie jednoznaczne stanowisko (z powyższymi postulatami i zasadami) rząd RP powinien natychmiast opublikować i podać do informacji wyborców (też mediów głównego nurtu) oraz wszystkich państw UE, Komisji Europejskiej i Parlamentu UE.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W ślad za tym należy natychmiast podjąć z inicjatywy rządu, przy szerokim udziale konsultacji społecznych,  prace legislacyjne w kierunku stworzenia i zmiany zapisów ustawowych sankcjonujących powyższe postulaty. W tym celu niezbędne jest dokonanie odpowiednich nowelizacji nie tylko ustawy o mikroorganizmach genetycznie zmodyfikowanych lecz również ustawy o nasiennictwie i ustawy o paszach.  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Zaniechanie rządu w tym zakresie, bez względu na opcję polityczną która będzie sprawowała władzę, doprowadzi do nieodwracalnych i szkodliwych skutków dla Narodu i gospodarki polskiej.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Dziś trzeba bronić  Polski, a zwłaszcza interesów i podstaw przetrwania Narodu polskiego nie tylko od strony militarnej. Głównie i na co dzień trzeba bronić Polski, polskich rolników i konsumentów przed niebezpieczną żywnością GMO i NGT oraz dalszym uzależnieniem od korporacji i ponadnarodowych instytucji.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Oczekujemy od Państwa natychmiastowych działań i odpowiedzi na nasz otwarty list-petycję.</w:t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ZAŁĄCZENIU ULOTKA INFORMACYJNA O ZAGROŻENIACH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Więcej materiałów: </w:t>
      </w:r>
    </w:p>
    <w:p>
      <w:pPr>
        <w:pStyle w:val="Normal"/>
        <w:spacing w:lineRule="auto" w:line="276"/>
        <w:rPr/>
      </w:pPr>
      <w:hyperlink r:id="rId2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https://doprawdy.info/2023/08/warsztaty-i-narada-pt-uwaga-nowe-gmo-koniem-trojanskim/</w:t>
        </w:r>
      </w:hyperlink>
    </w:p>
    <w:p>
      <w:pPr>
        <w:pStyle w:val="Normal"/>
        <w:spacing w:lineRule="auto" w:line="276"/>
        <w:rPr/>
      </w:pPr>
      <w:hyperlink r:id="rId3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https://instytutsprawobywatelskich.pl/nowe-gmo-watpliwosci-i-pytania-ktore-trzeba-zadawac/</w:t>
        </w:r>
      </w:hyperlink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rPr/>
      </w:pPr>
      <w:r>
        <w:rPr>
          <w:rStyle w:val="Znakiprzypiswdolnych"/>
          <w:rFonts w:ascii="Calibri" w:hAnsi="Calibri"/>
          <w:color w:val="000000"/>
          <w:sz w:val="32"/>
          <w:szCs w:val="32"/>
          <w:shd w:fill="FFFFFF" w:val="clear"/>
        </w:rPr>
        <w:t xml:space="preserve">Z poważaniem, </w:t>
      </w:r>
    </w:p>
    <w:p>
      <w:pPr>
        <w:pStyle w:val="Normal"/>
        <w:spacing w:lineRule="auto" w:line="276"/>
        <w:ind w:left="426" w:right="0" w:hanging="426"/>
        <w:rPr>
          <w:rStyle w:val="Domylnaczcionkaakapitu1"/>
          <w:rFonts w:ascii="Calibri" w:hAnsi="Calibri"/>
          <w:color w:val="000000"/>
          <w:sz w:val="22"/>
          <w:szCs w:val="22"/>
          <w:highlight w:val="white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spacing w:lineRule="auto" w:line="276" w:before="240" w:after="0"/>
        <w:rPr>
          <w:rFonts w:ascii="Calibri" w:hAnsi="Calibri" w:cs="Tahoma"/>
          <w:b/>
          <w:b/>
          <w:bCs/>
          <w:color w:val="000000"/>
          <w:sz w:val="22"/>
          <w:szCs w:val="22"/>
          <w:u w:val="single"/>
        </w:rPr>
      </w:pPr>
      <w:r>
        <w:rPr>
          <w:rFonts w:cs="Tahoma" w:ascii="Calibri" w:hAnsi="Calibri"/>
          <w:b/>
          <w:bCs/>
          <w:color w:val="000000"/>
          <w:sz w:val="22"/>
          <w:szCs w:val="22"/>
          <w:u w:val="single"/>
        </w:rPr>
        <w:t>Adresy do Korespondencji:</w:t>
      </w:r>
    </w:p>
    <w:p>
      <w:pPr>
        <w:pStyle w:val="Normal"/>
        <w:spacing w:lineRule="auto" w:line="276"/>
        <w:rPr>
          <w:rStyle w:val="Czeinternetowe"/>
          <w:rFonts w:ascii="Calibri" w:hAnsi="Calibri"/>
          <w:color w:val="000000"/>
          <w:sz w:val="22"/>
          <w:szCs w:val="22"/>
          <w:highlight w:val="white"/>
          <w:u w:val="none"/>
          <w:lang w:val="en-US"/>
        </w:rPr>
      </w:pPr>
      <w:hyperlink r:id="rId4">
        <w:r>
          <w:rPr/>
        </w:r>
      </w:hyperlink>
    </w:p>
    <w:p>
      <w:pPr>
        <w:pStyle w:val="Tretekstu"/>
        <w:spacing w:lineRule="auto" w:line="276" w:before="240" w:after="120"/>
        <w:rPr/>
      </w:pPr>
      <w:r>
        <w:rPr>
          <w:rStyle w:val="Czeinternetowe"/>
          <w:rFonts w:ascii="Calibri" w:hAnsi="Calibri"/>
          <w:b/>
          <w:bCs/>
          <w:color w:val="000000"/>
          <w:sz w:val="22"/>
          <w:szCs w:val="22"/>
          <w:highlight w:val="white"/>
          <w:u w:val="none"/>
        </w:rPr>
        <w:t>Podmioty wnoszące niniejszy list-petycję zgadzają się na publiczne udostępnienie treści tego listu-petycji oraz danych tele-adresowych i dotyczących sygnatariuszy.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(*) GMO – Genetycznie Modyfikowane Organizmy  GMM – Genetycznie Modyfikowane Mikroorganizmy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(**) Należy pamiętać, że wyrok Trybunału Sprawiedliwości Unii Europejskiej z 25 lipca 2018 (sprawa C-528/16) zdecydował, że organizmy tworzone nowymi technikami mutagenezy podlegają w pełni przepisom unijnego prawa o GMO. Stało się tak na skutek uzasadnionych obaw o wymknięcie się produktów NGT spod kontroli prawnej właściwej dla ryzykownych eksperymentów i produktów sztucznej modyfikacji genetycznej.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Znamiennym jest, że polski rząd i parlament, mimo upływu ponad czterech lat i wcześniejszych apeli Koalicji Polska Wolna od GMO ignoruje to orzeczenie i blokuje wprowadzenie do obowiązującego ustawodawstwa krajowego i do polskiego porządku prawnego przepisów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nakazujących stosowanie regulacji przewidzianych dla GMO w stosunku do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(***)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European Commission, Brussels, 5.7.2023 SWD(2023) 412 final (</w:t>
      </w:r>
      <w:hyperlink r:id="rId5">
        <w:r>
          <w:rPr>
            <w:rStyle w:val="Czeinternetowe"/>
            <w:rFonts w:ascii="Calibri" w:hAnsi="Calibri"/>
            <w:color w:val="000000"/>
            <w:sz w:val="22"/>
            <w:szCs w:val="22"/>
            <w:lang w:val="en-US"/>
          </w:rPr>
          <w:t>https://food.ec.europa.eu/system/files/2023-07/gmo_biotech_ngt_ia_report.pdf</w:t>
        </w:r>
      </w:hyperlink>
      <w:r>
        <w:rPr>
          <w:rFonts w:ascii="Calibri" w:hAnsi="Calibri"/>
          <w:color w:val="000000"/>
          <w:sz w:val="22"/>
          <w:szCs w:val="22"/>
          <w:lang w:val="en-US"/>
        </w:rPr>
        <w:t xml:space="preserve"> ),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również: Pakiet ds. żywności i bioróżnorodności – nowe propozycje legislacyjne Komisji</w:t>
      </w:r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Europejskiej (</w:t>
      </w:r>
      <w:hyperlink r:id="rId6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https://www.gov.pl/web/rolnictwo/pakiet-ds-zywnosci-i-bioroznorodnosci--nowe-propozycje-legislacyjne-komisji-europejskiej</w:t>
        </w:r>
      </w:hyperlink>
      <w:r>
        <w:rPr>
          <w:rFonts w:ascii="Calibri" w:hAnsi="Calibri"/>
          <w:color w:val="000000"/>
          <w:sz w:val="22"/>
          <w:szCs w:val="22"/>
        </w:rPr>
        <w:t xml:space="preserve"> ), </w:t>
      </w:r>
      <w:hyperlink r:id="rId7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https://ec.europa.eu/commission/presscorner/detail/en/ip_23_3565</w:t>
        </w:r>
      </w:hyperlink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Istnieją niezaprzeczalne dowody naukowe, świadczące, wbrew opinii lansowanej przez korporacje biotechnologiczne, że produkty NGT nie są bezpieczne i stanowią zagrożenie dla zdrowia i środowiska zarówno podczas ich wytwarzania jak i zastosowania, szczególnie w warunkach uwolnienia do środowiska, a więc obecnie w uprawach roślin.</w:t>
      </w:r>
    </w:p>
    <w:sectPr>
      <w:headerReference w:type="default" r:id="rId8"/>
      <w:type w:val="nextPage"/>
      <w:pgSz w:w="11906" w:h="16838"/>
      <w:pgMar w:left="1417" w:right="926" w:header="1417" w:top="1976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auto"/>
    <w:pitch w:val="default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Calibri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Bookman Old Style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>
      <w:start w:val="1"/>
      <w:numFmt w:val="decimal"/>
      <w:lvlText w:val="%5."/>
      <w:lvlJc w:val="left"/>
      <w:pPr>
        <w:tabs>
          <w:tab w:val="num" w:pos="2313"/>
        </w:tabs>
        <w:ind w:left="2313" w:hanging="360"/>
      </w:pPr>
    </w:lvl>
    <w:lvl w:ilvl="5">
      <w:start w:val="1"/>
      <w:numFmt w:val="decimal"/>
      <w:lvlText w:val="%6."/>
      <w:lvlJc w:val="left"/>
      <w:pPr>
        <w:tabs>
          <w:tab w:val="num" w:pos="2673"/>
        </w:tabs>
        <w:ind w:left="2673" w:hanging="360"/>
      </w:pPr>
    </w:lvl>
    <w:lvl w:ilvl="6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>
      <w:start w:val="1"/>
      <w:numFmt w:val="decimal"/>
      <w:lvlText w:val="%8."/>
      <w:lvlJc w:val="left"/>
      <w:pPr>
        <w:tabs>
          <w:tab w:val="num" w:pos="3393"/>
        </w:tabs>
        <w:ind w:left="3393" w:hanging="360"/>
      </w:pPr>
    </w:lvl>
    <w:lvl w:ilvl="8">
      <w:start w:val="1"/>
      <w:numFmt w:val="decimal"/>
      <w:lvlText w:val="%9."/>
      <w:lvlJc w:val="left"/>
      <w:pPr>
        <w:tabs>
          <w:tab w:val="num" w:pos="3753"/>
        </w:tabs>
        <w:ind w:left="3753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fals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next w:val="Tretekstu"/>
    <w:qFormat/>
    <w:pPr>
      <w:widowControl w:val="false"/>
      <w:numPr>
        <w:ilvl w:val="1"/>
        <w:numId w:val="1"/>
      </w:numPr>
      <w:spacing w:before="200" w:after="120"/>
      <w:outlineLvl w:val="1"/>
    </w:pPr>
    <w:rPr>
      <w:rFonts w:ascii="Liberation Serif;Times New Roman" w:hAnsi="Liberation Serif;Times New Roman" w:eastAsia="NSimSun" w:cs="Arial"/>
      <w:b/>
      <w:bCs/>
      <w:color w:val="auto"/>
      <w:kern w:val="0"/>
      <w:sz w:val="36"/>
      <w:szCs w:val="36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Domylnaczcionkaakapitu8">
    <w:name w:val="Domyślna czcionka akapitu8"/>
    <w:qFormat/>
    <w:rPr/>
  </w:style>
  <w:style w:type="character" w:styleId="Domylnaczcionkaakapitu7">
    <w:name w:val="Domyślna czcionka akapitu7"/>
    <w:qFormat/>
    <w:rPr/>
  </w:style>
  <w:style w:type="character" w:styleId="Domylnaczcionkaakapitu6">
    <w:name w:val="Domyślna czcionka akapitu6"/>
    <w:qFormat/>
    <w:rPr/>
  </w:style>
  <w:style w:type="character" w:styleId="WW8Num2z0">
    <w:name w:val="WW8Num2z0"/>
    <w:qFormat/>
    <w:rPr>
      <w:b/>
      <w:bCs/>
      <w:color w:val="000000"/>
    </w:rPr>
  </w:style>
  <w:style w:type="character" w:styleId="WW8Num3z0">
    <w:name w:val="WW8Num3z0"/>
    <w:qFormat/>
    <w:rPr/>
  </w:style>
  <w:style w:type="character" w:styleId="Domylnaczcionkaakapitu5">
    <w:name w:val="Domyślna czcionka akapitu5"/>
    <w:qFormat/>
    <w:rPr/>
  </w:style>
  <w:style w:type="character" w:styleId="WW8Num4z0">
    <w:name w:val="WW8Num4z0"/>
    <w:qFormat/>
    <w:rPr>
      <w:b/>
      <w:bCs/>
      <w:color w:val="000000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omylnaczcionkaakapitu4">
    <w:name w:val="Domyślna czcionka akapitu4"/>
    <w:qFormat/>
    <w:rPr/>
  </w:style>
  <w:style w:type="character" w:styleId="Domylnaczcionkaakapitu3">
    <w:name w:val="Domyślna czcionka akapitu3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2">
    <w:name w:val="Domyślna czcionka akapitu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Wyrnienie">
    <w:name w:val="Wyróżnienie"/>
    <w:qFormat/>
    <w:rPr>
      <w:i/>
      <w:iCs/>
    </w:rPr>
  </w:style>
  <w:style w:type="character" w:styleId="FootnoteCharacters">
    <w:name w:val="Footnote Characters"/>
    <w:qFormat/>
    <w:rPr>
      <w:vertAlign w:val="superscript"/>
    </w:rPr>
  </w:style>
  <w:style w:type="character" w:styleId="Startocchapter">
    <w:name w:val="star-toc-chapter"/>
    <w:basedOn w:val="Domylnaczcionkaakapitu1"/>
    <w:qFormat/>
    <w:rPr/>
  </w:style>
  <w:style w:type="character" w:styleId="Startocauthor">
    <w:name w:val="star-toc-author"/>
    <w:basedOn w:val="Domylnaczcionkaakapitu1"/>
    <w:qFormat/>
    <w:rPr/>
  </w:style>
  <w:style w:type="character" w:styleId="Authorroledesc">
    <w:name w:val="authorroledesc"/>
    <w:basedOn w:val="Domylnaczcionkaakapitu1"/>
    <w:qFormat/>
    <w:rPr/>
  </w:style>
  <w:style w:type="character" w:styleId="Publicationdate">
    <w:name w:val="publicationdate"/>
    <w:basedOn w:val="Domylnaczcionkaakapitu1"/>
    <w:qFormat/>
    <w:rPr/>
  </w:style>
  <w:style w:type="character" w:styleId="Availability">
    <w:name w:val="availability"/>
    <w:basedOn w:val="Domylnaczcionkaakapitu1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Mocnewyrnione">
    <w:name w:val="Mocne wyróżnione"/>
    <w:qFormat/>
    <w:rPr>
      <w:b/>
      <w:bCs/>
    </w:rPr>
  </w:style>
  <w:style w:type="character" w:styleId="Odwoanieprzypisudolnego1">
    <w:name w:val="Odwołanie przypisu dolnego1"/>
    <w:qFormat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Odwiedzoneczeinternetowe">
    <w:name w:val="Odwiedzone łącze internetowe"/>
    <w:rPr>
      <w:color w:val="800000"/>
      <w:u w:val="single"/>
      <w:lang w:val="zxx" w:bidi="zxx"/>
    </w:rPr>
  </w:style>
  <w:style w:type="character" w:styleId="Odwoanieprzypisudolnego2">
    <w:name w:val="Odwołanie przypisu dolnego2"/>
    <w:qFormat/>
    <w:rPr>
      <w:vertAlign w:val="superscript"/>
    </w:rPr>
  </w:style>
  <w:style w:type="character" w:styleId="Odwoanieprzypisukocowego1">
    <w:name w:val="Odwołanie przypisu końcowego1"/>
    <w:qFormat/>
    <w:rPr>
      <w:vertAlign w:val="superscript"/>
    </w:rPr>
  </w:style>
  <w:style w:type="character" w:styleId="Odwoanieprzypisudolnego3">
    <w:name w:val="Odwołanie przypisu dolnego3"/>
    <w:qFormat/>
    <w:rPr>
      <w:vertAlign w:val="superscript"/>
    </w:rPr>
  </w:style>
  <w:style w:type="character" w:styleId="Odwoanieprzypisukocowego2">
    <w:name w:val="Odwołanie przypisu końcowego2"/>
    <w:qFormat/>
    <w:rPr>
      <w:vertAlign w:val="superscript"/>
    </w:rPr>
  </w:style>
  <w:style w:type="character" w:styleId="Odwoanieprzypisudolnego4">
    <w:name w:val="Odwołanie przypisu dolnego4"/>
    <w:qFormat/>
    <w:rPr>
      <w:vertAlign w:val="superscript"/>
    </w:rPr>
  </w:style>
  <w:style w:type="character" w:styleId="Odwoanieprzypisukocowego3">
    <w:name w:val="Odwołanie przypisu końcowego3"/>
    <w:qFormat/>
    <w:rPr>
      <w:vertAlign w:val="superscript"/>
    </w:rPr>
  </w:style>
  <w:style w:type="character" w:styleId="Odwoanieprzypisudolnego5">
    <w:name w:val="Odwołanie przypisu dolnego5"/>
    <w:qFormat/>
    <w:rPr>
      <w:vertAlign w:val="superscript"/>
    </w:rPr>
  </w:style>
  <w:style w:type="character" w:styleId="Odwoanieprzypisukocowego4">
    <w:name w:val="Odwołanie przypisu końcowego4"/>
    <w:qFormat/>
    <w:rPr>
      <w:vertAlign w:val="superscript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Mocnewyrnione">
    <w:name w:val="WW-Mocne wyróżnione"/>
    <w:qFormat/>
    <w:rPr>
      <w:b/>
      <w:bCs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ascii="Calibri" w:hAnsi="Calibri"/>
      <w:color w:val="000000"/>
      <w:sz w:val="22"/>
      <w:szCs w:val="22"/>
    </w:rPr>
  </w:style>
  <w:style w:type="character" w:styleId="ListLabel2">
    <w:name w:val="ListLabel 2"/>
    <w:qFormat/>
    <w:rPr>
      <w:rFonts w:ascii="Calibri" w:hAnsi="Calibri"/>
      <w:color w:val="000000"/>
      <w:sz w:val="22"/>
      <w:szCs w:val="22"/>
      <w:lang w:bidi="hi-IN"/>
    </w:rPr>
  </w:style>
  <w:style w:type="character" w:styleId="ListLabel3">
    <w:name w:val="ListLabel 3"/>
    <w:qFormat/>
    <w:rPr>
      <w:rFonts w:ascii="Calibri" w:hAnsi="Calibri"/>
      <w:color w:val="000000"/>
      <w:sz w:val="22"/>
      <w:szCs w:val="22"/>
      <w:u w:val="none"/>
      <w:shd w:fill="FFFFFF" w:val="clear"/>
      <w:lang w:val="en-US"/>
    </w:rPr>
  </w:style>
  <w:style w:type="character" w:styleId="ListLabel4">
    <w:name w:val="ListLabel 4"/>
    <w:qFormat/>
    <w:rPr>
      <w:rFonts w:ascii="Calibri" w:hAnsi="Calibri"/>
      <w:color w:val="000000"/>
      <w:sz w:val="22"/>
      <w:szCs w:val="22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bidi="zxx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Nagwek8">
    <w:name w:val="Nagłówek8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7">
    <w:name w:val="Nagłówek7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7">
    <w:name w:val="Legenda7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6">
    <w:name w:val="Nagłówek6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6">
    <w:name w:val="Legenda6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5">
    <w:name w:val="Nagłówek5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5">
    <w:name w:val="Legenda5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4">
    <w:name w:val="Nagłówek4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4">
    <w:name w:val="Legenda4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3">
    <w:name w:val="Nagłówek3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21">
    <w:name w:val="Nagłówek2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Bookman Old Style" w:hAnsi="Bookman Old Style" w:eastAsia="Times New Roman" w:cs="Bookman Old Style"/>
      <w:color w:val="000000"/>
      <w:kern w:val="0"/>
      <w:sz w:val="24"/>
      <w:szCs w:val="24"/>
      <w:lang w:val="pl-PL" w:eastAsia="zh-CN" w:bidi="ar-SA"/>
    </w:rPr>
  </w:style>
  <w:style w:type="paragraph" w:styleId="TimesNewRoman">
    <w:name w:val="Times New Roman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ny (Web)"/>
    <w:basedOn w:val="Normal"/>
    <w:qFormat/>
    <w:pPr>
      <w:suppressAutoHyphens w:val="false"/>
      <w:spacing w:before="280" w:after="119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781" w:leader="none"/>
        <w:tab w:val="right" w:pos="9563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prawdy.info/2023/08/warsztaty-i-narada-pt-uwaga-nowe-gmo-koniem-trojanskim/" TargetMode="External"/><Relationship Id="rId3" Type="http://schemas.openxmlformats.org/officeDocument/2006/relationships/hyperlink" Target="https://instytutsprawobywatelskich.pl/nowe-gmo-watpliwosci-i-pytania-ktore-trzeba-zadawac/" TargetMode="External"/><Relationship Id="rId4" Type="http://schemas.openxmlformats.org/officeDocument/2006/relationships/hyperlink" Target="http://www.eko-cel.pl/" TargetMode="External"/><Relationship Id="rId5" Type="http://schemas.openxmlformats.org/officeDocument/2006/relationships/hyperlink" Target="https://food.ec.europa.eu/system/files/2023-07/gmo_biotech_ngt_ia_report.pdf" TargetMode="External"/><Relationship Id="rId6" Type="http://schemas.openxmlformats.org/officeDocument/2006/relationships/hyperlink" Target="https://www.gov.pl/web/rolnictwo/pakiet-ds-zywnosci-i-bioroznorodnosci--nowe-propozycje-legislacyjne-komisji-europejskiej" TargetMode="External"/><Relationship Id="rId7" Type="http://schemas.openxmlformats.org/officeDocument/2006/relationships/hyperlink" Target="https://ec.europa.eu/commission/presscorner/detail/en/ip_23_3565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Normal_x005F_x005F_x0000_</Template>
  <TotalTime>24</TotalTime>
  <Application>LibreOffice/6.1.5.2$Linux_X86_64 LibreOffice_project/10$Build-2</Application>
  <Pages>4</Pages>
  <Words>1033</Words>
  <Characters>7047</Characters>
  <CharactersWithSpaces>8068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2023-11-18T10:26:36Z</dcterms:created>
  <dc:creator/>
  <dc:description/>
  <dc:language>pl-PL</dc:language>
  <cp:lastModifiedBy/>
  <dcterms:modified xsi:type="dcterms:W3CDTF">2024-01-27T20:41:33Z</dcterms:modified>
  <cp:revision>14</cp:revision>
  <dc:subject/>
  <dc:title>Polska wieś to ciągle niedoceniane bogactwo; stanowi ona fundament, na którym Polacy muszą się oprzeć bowiem od niego zależy nasze bezpieczeństwo żywnościowe oraz zachowanie bogactwa naturalnego i kulturowego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